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0B" w:rsidRDefault="0013370B" w:rsidP="0013370B">
      <w:r>
        <w:t>Inspiracje KUCHNIA</w:t>
      </w:r>
      <w:bookmarkStart w:id="0" w:name="_GoBack"/>
      <w:bookmarkEnd w:id="0"/>
    </w:p>
    <w:p w:rsidR="0013370B" w:rsidRDefault="0013370B" w:rsidP="0013370B">
      <w:r>
        <w:t xml:space="preserve">LLP95 </w:t>
      </w:r>
      <w:proofErr w:type="spellStart"/>
      <w:r>
        <w:t>Ashland</w:t>
      </w:r>
      <w:proofErr w:type="spellEnd"/>
    </w:p>
    <w:p w:rsidR="003425FC" w:rsidRDefault="0013370B" w:rsidP="0013370B">
      <w:pPr>
        <w:pBdr>
          <w:bottom w:val="single" w:sz="6" w:space="1" w:color="auto"/>
        </w:pBdr>
      </w:pPr>
      <w:r>
        <w:t xml:space="preserve">Stwórz nowoczesną, elegancką przestrzeń, wykorzystując serię kremowych desek </w:t>
      </w:r>
      <w:proofErr w:type="spellStart"/>
      <w:r>
        <w:t>Ashland</w:t>
      </w:r>
      <w:proofErr w:type="spellEnd"/>
      <w:r>
        <w:t xml:space="preserve"> z naszej kolekcji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. Delikatne dębowe usłojenie w połączeniu z chłodnym kredowym wykończeniem idealnie komponuje się ze stylem pokoju, zapewniając niepowtarzalne wrażenia estetyczne. Deski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są dostępne w wymiarach 1050 mm x 250 mm, zapewniają łatwy i szybki montaż oraz są objęte 15-letnią gwarancją.</w:t>
      </w:r>
    </w:p>
    <w:p w:rsidR="0013370B" w:rsidRDefault="0013370B" w:rsidP="0013370B">
      <w:r>
        <w:t>LLP108 Providence</w:t>
      </w:r>
    </w:p>
    <w:p w:rsidR="0013370B" w:rsidRDefault="0013370B" w:rsidP="0013370B">
      <w:pPr>
        <w:pBdr>
          <w:bottom w:val="single" w:sz="6" w:space="1" w:color="auto"/>
        </w:pBdr>
      </w:pPr>
      <w:r>
        <w:t>Serię LLP108 Providence cechują wyraziste wzory słojów i delikatne, jasne akcenty wiernie oddające przytulne ciepło tradycyjnego północnoamerykańskiego dębu. Jej ciągnące się usłojenie nadaje podłodze charakteru i subtelnie kontrastujący ciemny deseń. Ta ciepła i przytulna, a jednocześnie neutralna bazowa kolorystyka świetnie rozjaśnia pomieszczenie.</w:t>
      </w:r>
    </w:p>
    <w:p w:rsidR="0013370B" w:rsidRDefault="0013370B" w:rsidP="0013370B">
      <w:r>
        <w:t>LLT200 Arizona</w:t>
      </w:r>
    </w:p>
    <w:p w:rsidR="0013370B" w:rsidRDefault="0013370B" w:rsidP="0013370B">
      <w:r>
        <w:t xml:space="preserve">Mające współczesny wygląd modernistycznego natłoczonego betonu, nasze </w:t>
      </w:r>
      <w:proofErr w:type="spellStart"/>
      <w:r>
        <w:t>średniobrązowe</w:t>
      </w:r>
      <w:proofErr w:type="spellEnd"/>
      <w:r>
        <w:t xml:space="preserve">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Arizona płytki podłogowe są perfekcyjne do uzyskania nowoczesnego stylu.</w:t>
      </w:r>
    </w:p>
    <w:p w:rsidR="0013370B" w:rsidRDefault="0013370B" w:rsidP="0013370B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13370B" w:rsidRDefault="0013370B" w:rsidP="0013370B">
      <w:r>
        <w:t>LLT203 Madison</w:t>
      </w:r>
    </w:p>
    <w:p w:rsidR="0013370B" w:rsidRDefault="0013370B" w:rsidP="0013370B">
      <w:pPr>
        <w:pBdr>
          <w:bottom w:val="single" w:sz="6" w:space="1" w:color="auto"/>
        </w:pBdr>
      </w:pPr>
      <w:r>
        <w:t xml:space="preserve">Najciemniejsze z wariantów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Madison -płytek o wzorze przydymionego grafitu  świetnie pasujących do tradycyjnego lub bardz</w:t>
      </w:r>
      <w:r>
        <w:t xml:space="preserve">iej nowoczesnego stylu </w:t>
      </w:r>
      <w:proofErr w:type="spellStart"/>
      <w:r>
        <w:t>decor</w:t>
      </w:r>
      <w:proofErr w:type="spellEnd"/>
      <w:r>
        <w:t xml:space="preserve">.  </w:t>
      </w: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13370B" w:rsidRDefault="0013370B" w:rsidP="0013370B">
      <w:r>
        <w:t xml:space="preserve">LM02 Guernsey </w:t>
      </w:r>
      <w:proofErr w:type="spellStart"/>
      <w:r>
        <w:t>Limestone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Cętkowane, jasne odcienie modelu Guernsey Island </w:t>
      </w:r>
      <w:proofErr w:type="spellStart"/>
      <w:r>
        <w:t>Limestone</w:t>
      </w:r>
      <w:proofErr w:type="spellEnd"/>
      <w:r>
        <w:t xml:space="preserve"> oferują Ci ponadczasowy wygląd i losowy sposób układania klasycznych podłóg z wapienia. Ale inaczej niż w przypadku podłóg z naturalnego kamienia, produkty </w:t>
      </w:r>
      <w:proofErr w:type="spellStart"/>
      <w:r>
        <w:t>Designflooring</w:t>
      </w:r>
      <w:proofErr w:type="spellEnd"/>
      <w:r>
        <w:t xml:space="preserve"> oferują ci doskonały wygląd bez pęknięć, porowatości czy chłodu - styl bez wad.</w:t>
      </w:r>
    </w:p>
    <w:p w:rsidR="0013370B" w:rsidRDefault="0013370B" w:rsidP="0013370B">
      <w:r>
        <w:t xml:space="preserve">LM03 Alderney </w:t>
      </w:r>
      <w:proofErr w:type="spellStart"/>
      <w:r>
        <w:t>Limestone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Chłodna, kredowobiała świeżość modelu Alderney Island </w:t>
      </w:r>
      <w:proofErr w:type="spellStart"/>
      <w:r>
        <w:t>Limestone</w:t>
      </w:r>
      <w:proofErr w:type="spellEnd"/>
      <w:r>
        <w:t xml:space="preserve"> daje możliwość stworzenia przestronnej, klasycznej bazy dla każdej przestrzeni. Każdy panel składa się z płytek o różnych rozmiarach oddzielonych realistycznymi listwami fugowymi, by stworzyć efekt losowego ułożenia tak popularnego dla podłóg z wapienia.</w:t>
      </w:r>
    </w:p>
    <w:p w:rsidR="0013370B" w:rsidRDefault="0013370B" w:rsidP="0013370B">
      <w:r>
        <w:t>SP713 Vita</w:t>
      </w:r>
    </w:p>
    <w:p w:rsidR="0013370B" w:rsidRDefault="0013370B" w:rsidP="0013370B">
      <w:pPr>
        <w:pBdr>
          <w:bottom w:val="single" w:sz="6" w:space="1" w:color="auto"/>
        </w:pBdr>
      </w:pPr>
      <w:r>
        <w:t>Vita bazuje na ciemnobrązowych barwach oraz przydymionych tonach, zapewniając ciepłe i naturalne wykończenie. Jest to odpowiednia propozycja zarówno do tradycyjnych, jak i współczesnych wnętrz, która doda charakteru każdemu wystrojowi. Warto rozważyć wykorzystanie naszych pasków ozdobnych i wzbogacić całość osobistym akcentem.</w:t>
      </w:r>
    </w:p>
    <w:p w:rsidR="0013370B" w:rsidRDefault="0013370B" w:rsidP="0013370B">
      <w:r>
        <w:t xml:space="preserve">SP714 </w:t>
      </w:r>
      <w:proofErr w:type="spellStart"/>
      <w:r>
        <w:t>Clarus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proofErr w:type="spellStart"/>
      <w:r>
        <w:t>Clarus</w:t>
      </w:r>
      <w:proofErr w:type="spellEnd"/>
      <w:r>
        <w:t xml:space="preserve"> łączy jasne odcienie szarości i beżu, co zapewnia efekt prawdziwego kamienia i nadaje pomieszczeniu aury nieskazitelnej czystości. Dzięki uniwersalnym dużym płytkom, </w:t>
      </w:r>
      <w:proofErr w:type="spellStart"/>
      <w:r>
        <w:t>Clarus</w:t>
      </w:r>
      <w:proofErr w:type="spellEnd"/>
      <w:r>
        <w:t xml:space="preserve"> stanowi efektowne wykończenie każdego domu.</w:t>
      </w:r>
    </w:p>
    <w:p w:rsidR="0013370B" w:rsidRDefault="0013370B" w:rsidP="0013370B">
      <w:r>
        <w:t>WP412 Primo</w:t>
      </w:r>
    </w:p>
    <w:p w:rsidR="0013370B" w:rsidRDefault="0013370B" w:rsidP="0013370B">
      <w:pPr>
        <w:pBdr>
          <w:bottom w:val="single" w:sz="6" w:space="1" w:color="auto"/>
        </w:pBdr>
      </w:pPr>
      <w:r>
        <w:lastRenderedPageBreak/>
        <w:t>Tradycyjny, miodowy odcień i subtelny rysunek słojów sprawia, że model Primo sprawdza się równie dobrze w przestrzeniach tradycyjnych i nowoczesnych. Bardzo duży format desek ma duży wpływ na odczucie przestrzeni, redukując jednocześnie czas montażu.</w:t>
      </w:r>
    </w:p>
    <w:p w:rsidR="0013370B" w:rsidRDefault="0013370B" w:rsidP="0013370B">
      <w:r>
        <w:t xml:space="preserve">WP414 </w:t>
      </w:r>
      <w:proofErr w:type="spellStart"/>
      <w:r>
        <w:t>Argen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Model </w:t>
      </w:r>
      <w:proofErr w:type="spellStart"/>
      <w:r>
        <w:t>Argen</w:t>
      </w:r>
      <w:proofErr w:type="spellEnd"/>
      <w:r>
        <w:t xml:space="preserve"> wnosi wspaniałe, srebrne poblaski do grafitowych barw tego charakterystycznego modelu podłogi o dużych deskach i wzorze drewna. Dla uzyskania robiącego wrażenie efektu końcowego rozważ użycie srebrnych bordiur typu </w:t>
      </w:r>
      <w:proofErr w:type="spellStart"/>
      <w:r>
        <w:t>keyline</w:t>
      </w:r>
      <w:proofErr w:type="spellEnd"/>
      <w:r>
        <w:t xml:space="preserve"> lub </w:t>
      </w:r>
      <w:proofErr w:type="spellStart"/>
      <w:r>
        <w:t>tramline</w:t>
      </w:r>
      <w:proofErr w:type="spellEnd"/>
      <w:r>
        <w:t xml:space="preserve"> na krawędziach swojej przestrzeni, by wydobyć srebrzyste pobłyski </w:t>
      </w:r>
      <w:proofErr w:type="spellStart"/>
      <w:r>
        <w:t>rysuknku</w:t>
      </w:r>
      <w:proofErr w:type="spellEnd"/>
      <w:r>
        <w:t xml:space="preserve"> słojów modelu </w:t>
      </w:r>
      <w:proofErr w:type="spellStart"/>
      <w:r>
        <w:t>Argen</w:t>
      </w:r>
      <w:proofErr w:type="spellEnd"/>
      <w:r>
        <w:t>.</w:t>
      </w:r>
    </w:p>
    <w:p w:rsidR="0013370B" w:rsidRDefault="0013370B" w:rsidP="0013370B">
      <w:r>
        <w:t xml:space="preserve">LM10 </w:t>
      </w:r>
      <w:proofErr w:type="spellStart"/>
      <w:r>
        <w:t>Ashford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>Ten niezwykle dekoracyjny, pełen klasycznego wdzięku błyszczącego czarnego marmuru produkt poddano dyskretnemu matowieniu przydającemu autentyczności.</w:t>
      </w:r>
    </w:p>
    <w:p w:rsidR="0013370B" w:rsidRDefault="0013370B" w:rsidP="0013370B">
      <w:r>
        <w:t xml:space="preserve">AP03 Black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Ciesz się zachwycającym połączeniem czarnej dębiny ze szczegółowym rysunkiem słojów, </w:t>
      </w:r>
      <w:proofErr w:type="spellStart"/>
      <w:r>
        <w:t>piękej</w:t>
      </w:r>
      <w:proofErr w:type="spellEnd"/>
      <w:r>
        <w:t xml:space="preserve"> tekstury i nowoczesnego, matowego wykończenia. Potem wybierz jedną z licznych możliwości ułożenia i dostępnych bordiur by uzyskać naprawdę wyjątkowy wygląd.</w:t>
      </w:r>
    </w:p>
    <w:p w:rsidR="0013370B" w:rsidRDefault="0013370B" w:rsidP="0013370B">
      <w:r>
        <w:t xml:space="preserve">LM15 </w:t>
      </w:r>
      <w:proofErr w:type="spellStart"/>
      <w:r>
        <w:t>Otono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>Ten klasyczny włoski marmur o szaroczarnej barwie charakteryzuje szyk i przyjemny wygląd dzięki delikatnemu matowemu wykończeniu i ciemnoszaremu charakterystycznemu dla tego kamienia wzorowi z muśnięciami błękitu.</w:t>
      </w:r>
    </w:p>
    <w:p w:rsidR="0013370B" w:rsidRDefault="0013370B" w:rsidP="0013370B">
      <w:r>
        <w:t xml:space="preserve">LM16 CLIP </w:t>
      </w:r>
      <w:proofErr w:type="spellStart"/>
      <w:r>
        <w:t>Fiore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Łagodność i wyrafinowana elegancja </w:t>
      </w:r>
      <w:proofErr w:type="spellStart"/>
      <w:r>
        <w:t>Fiore</w:t>
      </w:r>
      <w:proofErr w:type="spellEnd"/>
      <w:r>
        <w:t xml:space="preserve"> </w:t>
      </w:r>
      <w:proofErr w:type="spellStart"/>
      <w:r>
        <w:t>Marble</w:t>
      </w:r>
      <w:proofErr w:type="spellEnd"/>
      <w:r>
        <w:t xml:space="preserve"> opiera się na gładkim charakterystycznym wzorze o subtelnym białoszarym żyłkowaniu, który znakomicie sprawdzi się zarówno w pomieszczeniach o ciepłym, jak i chłodnym klimacie.</w:t>
      </w:r>
    </w:p>
    <w:p w:rsidR="0013370B" w:rsidRDefault="0013370B" w:rsidP="0013370B">
      <w:r>
        <w:t xml:space="preserve">LM27 </w:t>
      </w:r>
      <w:proofErr w:type="spellStart"/>
      <w:r>
        <w:t>Washburn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>Ten chłodny i świeży trawertyn mieni się delikatnymi, lekkimi odcieniami na subtelnym marmurkowym wzorze, nadającym mu interesującego i niejednorodnego wyglądu.</w:t>
      </w:r>
    </w:p>
    <w:p w:rsidR="0013370B" w:rsidRDefault="0013370B" w:rsidP="0013370B">
      <w:r>
        <w:t xml:space="preserve">RP102 Natural </w:t>
      </w:r>
      <w:proofErr w:type="spellStart"/>
      <w:r>
        <w:t>Oak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Odcienie klasycznego złotego dębu podłogi Natural </w:t>
      </w:r>
      <w:proofErr w:type="spellStart"/>
      <w:r>
        <w:t>Oak</w:t>
      </w:r>
      <w:proofErr w:type="spellEnd"/>
      <w:r>
        <w:t xml:space="preserve"> są podkreślone przez gładkie sęki i podłużne słoje. Dzięki nieco zróżnicowanym odcieniom oraz wymiarom 915 mm x 76 mm, deski te nadają się do układania bardziej kreatywnych wzorów, zwłaszcza jodełki i zygzaków.</w:t>
      </w:r>
    </w:p>
    <w:p w:rsidR="0013370B" w:rsidRDefault="0013370B" w:rsidP="0013370B">
      <w:r>
        <w:t xml:space="preserve">RP105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Acacia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Acacia</w:t>
      </w:r>
      <w:proofErr w:type="spellEnd"/>
      <w:r>
        <w:t xml:space="preserve"> ma wyraźne, ciemne odcienie czerwieni i brązu, które nadają jej efektu osmalenia. Ten deseń drewna doda mieszkaniu odważnego piękna.</w:t>
      </w:r>
    </w:p>
    <w:p w:rsidR="0013370B" w:rsidRDefault="0013370B" w:rsidP="0013370B">
      <w:r>
        <w:t xml:space="preserve">CC06 </w:t>
      </w:r>
      <w:proofErr w:type="spellStart"/>
      <w:r>
        <w:t>Graphite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To subtelne połączenie odcieni czerni i grafitu czerpie inspirację z chropowatej powierzchni prawdziwego łupka. Podłoga wygląda szczególnie efektownie układana pod kątem i połączona z jedną z naszych jasnych lub metalicznych </w:t>
      </w:r>
      <w:proofErr w:type="spellStart"/>
      <w:r>
        <w:t>listwe</w:t>
      </w:r>
      <w:proofErr w:type="spellEnd"/>
      <w:r>
        <w:t xml:space="preserve"> wykończeniowych.</w:t>
      </w:r>
    </w:p>
    <w:p w:rsidR="0013370B" w:rsidRDefault="0013370B" w:rsidP="0013370B">
      <w:r>
        <w:t xml:space="preserve">LST03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Limestone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Model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Limestone</w:t>
      </w:r>
      <w:proofErr w:type="spellEnd"/>
      <w:r>
        <w:t xml:space="preserve"> wnosi piaskowe odcienie i </w:t>
      </w:r>
      <w:proofErr w:type="spellStart"/>
      <w:r>
        <w:t>odrobinä</w:t>
      </w:r>
      <w:proofErr w:type="spellEnd"/>
      <w:r>
        <w:t xml:space="preserve"> niebieskich barw do klasycznej palety </w:t>
      </w:r>
      <w:proofErr w:type="spellStart"/>
      <w:r>
        <w:t>koloraw</w:t>
      </w:r>
      <w:proofErr w:type="spellEnd"/>
      <w:r>
        <w:t xml:space="preserve"> wapienia. Delikatnie </w:t>
      </w:r>
      <w:proofErr w:type="spellStart"/>
      <w:r>
        <w:t>nierawna</w:t>
      </w:r>
      <w:proofErr w:type="spellEnd"/>
      <w:r>
        <w:t xml:space="preserve"> tekstura powierzchni i lekko </w:t>
      </w:r>
      <w:proofErr w:type="spellStart"/>
      <w:r>
        <w:t>cätkowany</w:t>
      </w:r>
      <w:proofErr w:type="spellEnd"/>
      <w:r>
        <w:t xml:space="preserve"> </w:t>
      </w:r>
      <w:proofErr w:type="spellStart"/>
      <w:r>
        <w:t>wzar</w:t>
      </w:r>
      <w:proofErr w:type="spellEnd"/>
      <w:r>
        <w:t xml:space="preserve"> </w:t>
      </w:r>
      <w:proofErr w:type="spellStart"/>
      <w:r>
        <w:t>czynia</w:t>
      </w:r>
      <w:proofErr w:type="spellEnd"/>
      <w:r>
        <w:t xml:space="preserve"> z tego modelu dobre i </w:t>
      </w:r>
      <w:proofErr w:type="spellStart"/>
      <w:r>
        <w:t>uniwerslane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dla </w:t>
      </w:r>
      <w:proofErr w:type="spellStart"/>
      <w:r>
        <w:t>kadej</w:t>
      </w:r>
      <w:proofErr w:type="spellEnd"/>
      <w:r>
        <w:t xml:space="preserve"> przestrzeni.</w:t>
      </w:r>
    </w:p>
    <w:p w:rsidR="0013370B" w:rsidRDefault="0013370B" w:rsidP="0013370B">
      <w:r>
        <w:lastRenderedPageBreak/>
        <w:t xml:space="preserve">LST05 Santi </w:t>
      </w:r>
      <w:proofErr w:type="spellStart"/>
      <w:r>
        <w:t>Limestone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model </w:t>
      </w:r>
      <w:proofErr w:type="spellStart"/>
      <w:r>
        <w:t>santi</w:t>
      </w:r>
      <w:proofErr w:type="spellEnd"/>
      <w:r>
        <w:t xml:space="preserve"> </w:t>
      </w:r>
      <w:proofErr w:type="spellStart"/>
      <w:r>
        <w:t>limestone</w:t>
      </w:r>
      <w:proofErr w:type="spellEnd"/>
      <w:r>
        <w:t xml:space="preserve"> wnosi bogate, ziemiste </w:t>
      </w:r>
      <w:proofErr w:type="spellStart"/>
      <w:r>
        <w:t>szarobrä</w:t>
      </w:r>
      <w:proofErr w:type="spellEnd"/>
      <w:r>
        <w:t>…</w:t>
      </w:r>
      <w:proofErr w:type="spellStart"/>
      <w:r>
        <w:t>zowe</w:t>
      </w:r>
      <w:proofErr w:type="spellEnd"/>
      <w:r>
        <w:t xml:space="preserve"> odcienie do delikatnie </w:t>
      </w:r>
      <w:proofErr w:type="spellStart"/>
      <w:r>
        <w:t>cä™tkowanych</w:t>
      </w:r>
      <w:proofErr w:type="spellEnd"/>
      <w:r>
        <w:t xml:space="preserve"> i </w:t>
      </w:r>
      <w:proofErr w:type="spellStart"/>
      <w:r>
        <w:t>posiadajä</w:t>
      </w:r>
      <w:proofErr w:type="spellEnd"/>
      <w:r>
        <w:t>…</w:t>
      </w:r>
      <w:proofErr w:type="spellStart"/>
      <w:r>
        <w:t>cych</w:t>
      </w:r>
      <w:proofErr w:type="spellEnd"/>
      <w:r>
        <w:t xml:space="preserve"> lekko nierã³wnä… </w:t>
      </w:r>
      <w:proofErr w:type="spellStart"/>
      <w:r>
        <w:t>teksturä</w:t>
      </w:r>
      <w:proofErr w:type="spellEnd"/>
      <w:r>
        <w:t xml:space="preserve">™ podå‚ã³g o wzorze wapienia z kolekcji monet. dla uzyskania </w:t>
      </w:r>
      <w:proofErr w:type="spellStart"/>
      <w:r>
        <w:t>naprawdä</w:t>
      </w:r>
      <w:proofErr w:type="spellEnd"/>
      <w:r>
        <w:t xml:space="preserve">™ autentycznego efektu przejrzyj </w:t>
      </w:r>
      <w:proofErr w:type="spellStart"/>
      <w:r>
        <w:t>ofertä</w:t>
      </w:r>
      <w:proofErr w:type="spellEnd"/>
      <w:r>
        <w:t xml:space="preserve">™ naszych listew </w:t>
      </w:r>
      <w:proofErr w:type="spellStart"/>
      <w:r>
        <w:t>wykoå„czeniowych</w:t>
      </w:r>
      <w:proofErr w:type="spellEnd"/>
      <w:r>
        <w:t xml:space="preserve"> by </w:t>
      </w:r>
      <w:proofErr w:type="spellStart"/>
      <w:r>
        <w:t>wybraä</w:t>
      </w:r>
      <w:proofErr w:type="spellEnd"/>
      <w:r>
        <w:t xml:space="preserve">‡ idealne dopasowanie dla tych atrakcyjnych </w:t>
      </w:r>
      <w:proofErr w:type="spellStart"/>
      <w:r>
        <w:t>på‚ytek</w:t>
      </w:r>
      <w:proofErr w:type="spellEnd"/>
      <w:r>
        <w:t xml:space="preserve"> o wzorze wapienia.</w:t>
      </w:r>
    </w:p>
    <w:p w:rsidR="0013370B" w:rsidRDefault="0013370B" w:rsidP="0013370B">
      <w:r>
        <w:t>CK25 Noir</w:t>
      </w:r>
    </w:p>
    <w:p w:rsidR="0013370B" w:rsidRDefault="0013370B" w:rsidP="0013370B">
      <w:pPr>
        <w:pBdr>
          <w:bottom w:val="single" w:sz="6" w:space="1" w:color="auto"/>
        </w:pBdr>
      </w:pPr>
      <w:r>
        <w:t xml:space="preserve">Jeżeli podobają Ci się tekstury klasycznych modeli </w:t>
      </w:r>
      <w:proofErr w:type="spellStart"/>
      <w:r>
        <w:t>Antique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ale potrzebujesz czegoś bardziej spektakularnego dla swojej przestrzeni wypróbuj matowe, czarne tonacje modelu Noir. Model Noir wygląda doskonale zarówno w nowoczesnych jak i w klasycznych przestrzeniach, a Ty możesz wykazać się kreatywnością stosując któreś z szerokiej gamy dostępnych listew wykończeniowych, by nadać podłodze indywidualnego wykończenia.</w:t>
      </w:r>
    </w:p>
    <w:p w:rsidR="0013370B" w:rsidRDefault="0013370B" w:rsidP="0013370B">
      <w:r>
        <w:t xml:space="preserve">CER13 </w:t>
      </w:r>
      <w:proofErr w:type="spellStart"/>
      <w:r>
        <w:t>Eisen</w:t>
      </w:r>
      <w:proofErr w:type="spellEnd"/>
    </w:p>
    <w:p w:rsidR="0013370B" w:rsidRDefault="0013370B" w:rsidP="0013370B">
      <w:r>
        <w:t xml:space="preserve">Płytki </w:t>
      </w:r>
      <w:proofErr w:type="spellStart"/>
      <w:r>
        <w:t>Eisen</w:t>
      </w:r>
      <w:proofErr w:type="spellEnd"/>
      <w:r>
        <w:t xml:space="preserve"> były pierwotnie wzorowane na postarzałej stali, jednak ich ciemne odcienie i delikatna faktura pozwalają im imitować różne naturalne materiały. Ta cecha zapewnia elastyczność potrzebną w dostosowaniu podłogi do wystroju wnętrza. Do podłogi wystarczy dodać nasze nowe bordiury </w:t>
      </w:r>
      <w:proofErr w:type="spellStart"/>
      <w:r>
        <w:t>Quadrant</w:t>
      </w:r>
      <w:proofErr w:type="spellEnd"/>
      <w:r>
        <w:t>, by uzyskać nowoczesne, minimalistyczne wykończenie.</w:t>
      </w:r>
    </w:p>
    <w:p w:rsidR="0013370B" w:rsidRDefault="0013370B" w:rsidP="0013370B"/>
    <w:p w:rsidR="0013370B" w:rsidRDefault="0013370B" w:rsidP="0013370B">
      <w:pPr>
        <w:pBdr>
          <w:bottom w:val="single" w:sz="6" w:space="1" w:color="auto"/>
        </w:pBdr>
      </w:pPr>
      <w:r>
        <w:t>Dzięki fazowanym krawędziom tej jednokolorowej bordiury, padające na nią światło świetnie podkreśla jej strukturę. Do podłogi można również dodać paski imitujące fugi, by uzyskać bardziej tradycyjny wygląd: ciemne dadzą efekt bardziej jednolity, a jasne dodadzą całości kontrastu.</w:t>
      </w:r>
    </w:p>
    <w:p w:rsidR="0013370B" w:rsidRDefault="0013370B" w:rsidP="0013370B">
      <w:r>
        <w:t>CER16 Sable</w:t>
      </w:r>
    </w:p>
    <w:p w:rsidR="0013370B" w:rsidRDefault="0013370B" w:rsidP="0013370B">
      <w:r>
        <w:t>Podłoga Sable inspirowana była klasyczną strukturą i ponadczasowym wdziękiem naturalnego wapienia, jednak inaczej niż w przypadku tradycyjnych produktów z tego kamienia, w jej kolorystyce dominuje głębszy brąz. Nieregularne wzory z wyraźniejszymi elementami tworzą intrygującą podłogę, która może być neutralną, lecz ciekawą bazą wystroju wnętrza.</w:t>
      </w:r>
    </w:p>
    <w:p w:rsidR="0013370B" w:rsidRDefault="0013370B" w:rsidP="0013370B"/>
    <w:p w:rsidR="0013370B" w:rsidRDefault="0013370B" w:rsidP="0013370B">
      <w:pPr>
        <w:pBdr>
          <w:bottom w:val="single" w:sz="6" w:space="1" w:color="auto"/>
        </w:pBdr>
      </w:pPr>
      <w:r>
        <w:t xml:space="preserve">By nadać podłodze autentycznego wyglądu kamienia, wystarczy obwieść ją naszą nową bordiurą </w:t>
      </w:r>
      <w:proofErr w:type="spellStart"/>
      <w:r>
        <w:t>Davyne</w:t>
      </w:r>
      <w:proofErr w:type="spellEnd"/>
      <w:r>
        <w:t xml:space="preserve"> oraz wstawić pomiędzy płytki paski imitujące fugi. Szerokie, lecz płytkie fazowania zapewniają płytkom Monet elegancki wygląd, łatwe czyszczenie oraz wysoką trwałość.</w:t>
      </w:r>
    </w:p>
    <w:p w:rsidR="0013370B" w:rsidRDefault="0013370B" w:rsidP="0013370B">
      <w:r>
        <w:t xml:space="preserve">CER20 </w:t>
      </w:r>
      <w:proofErr w:type="spellStart"/>
      <w:r>
        <w:t>Cambric</w:t>
      </w:r>
      <w:proofErr w:type="spellEnd"/>
    </w:p>
    <w:p w:rsidR="0013370B" w:rsidRDefault="0013370B" w:rsidP="0013370B">
      <w:r>
        <w:t xml:space="preserve">Podłoga </w:t>
      </w:r>
      <w:proofErr w:type="spellStart"/>
      <w:r>
        <w:t>Cambric</w:t>
      </w:r>
      <w:proofErr w:type="spellEnd"/>
      <w:r>
        <w:t xml:space="preserve"> swoim wyglądem przypomina fakturę tkaniny i betonowej posadzki. Jest to jedna z trzech linii płytek Monet, która łączy w sobie finezję wzoru ze spokojnymi barwami, dzięki czemu doskonale komponuje się z każdym pomieszczeniem. Jej chłodne odcienie szarości przywołują na myśl nowoczesne powierzchnie z lanego betonu, jednak bez cechującego je zimna.</w:t>
      </w:r>
    </w:p>
    <w:p w:rsidR="0013370B" w:rsidRDefault="0013370B" w:rsidP="0013370B"/>
    <w:p w:rsidR="0013370B" w:rsidRDefault="0013370B" w:rsidP="0013370B">
      <w:pPr>
        <w:pBdr>
          <w:bottom w:val="single" w:sz="6" w:space="1" w:color="auto"/>
        </w:pBdr>
      </w:pPr>
      <w:r>
        <w:t xml:space="preserve">By nadać podłodze autentycznego wyglądu kamienia i akcentu nowoczesności, wystarczy obwieść ją naszą nową bordiurą </w:t>
      </w:r>
      <w:proofErr w:type="spellStart"/>
      <w:r>
        <w:t>Kousa</w:t>
      </w:r>
      <w:proofErr w:type="spellEnd"/>
      <w:r>
        <w:t xml:space="preserve"> oraz wstawić pomiędzy płytki paski imitujące fugi. Szerokie, lecz płytkie fazowania zapewniają płytkom Monet elegancki wygląd, łatwe czyszczenie oraz wysoką trwałość.</w:t>
      </w:r>
    </w:p>
    <w:p w:rsidR="0013370B" w:rsidRDefault="0013370B" w:rsidP="0013370B">
      <w:r>
        <w:t>SP212 Terra</w:t>
      </w:r>
    </w:p>
    <w:p w:rsidR="0013370B" w:rsidRDefault="0013370B" w:rsidP="0013370B">
      <w:pPr>
        <w:pBdr>
          <w:bottom w:val="single" w:sz="6" w:space="1" w:color="auto"/>
        </w:pBdr>
      </w:pPr>
      <w:r>
        <w:t>Model Terra charakteryzuje się cieplejszymi, ziemnymi barwami niż jego siostrzane modele z linii podłóg o wzorach kamienia Opus. Przypominający trawertyn wzór i jego neutralne odcienie tworzą naprawdę neutralną bazę dla Twojego wnętrza. Podkreśl urok prostokątnych płytek wybierając kontrastową listwę fugową dla uzyskania osobistego efektu końcowego.</w:t>
      </w:r>
    </w:p>
    <w:p w:rsidR="0013370B" w:rsidRDefault="0013370B" w:rsidP="0013370B">
      <w:r>
        <w:lastRenderedPageBreak/>
        <w:t xml:space="preserve">SP213 </w:t>
      </w:r>
      <w:proofErr w:type="spellStart"/>
      <w:r>
        <w:t>Urbus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Duże, prostokątne płytki modelu </w:t>
      </w:r>
      <w:proofErr w:type="spellStart"/>
      <w:r>
        <w:t>Urbus</w:t>
      </w:r>
      <w:proofErr w:type="spellEnd"/>
      <w:r>
        <w:t xml:space="preserve"> łączą odcienie jasnoszare i szare ze wzorem inspirowanym trawertynem. Jako odpowiedź na modę na większe płytki podłogowe w kolorach betonu, model </w:t>
      </w:r>
      <w:proofErr w:type="spellStart"/>
      <w:r>
        <w:t>Urbus</w:t>
      </w:r>
      <w:proofErr w:type="spellEnd"/>
      <w:r>
        <w:t xml:space="preserve"> wygląda doskonale w połączeniu z kontrastowymi listwami fugowymi.</w:t>
      </w:r>
    </w:p>
    <w:p w:rsidR="0013370B" w:rsidRDefault="0013370B" w:rsidP="0013370B">
      <w:r>
        <w:t xml:space="preserve">ST10 </w:t>
      </w:r>
      <w:proofErr w:type="spellStart"/>
      <w:r>
        <w:t>Damas</w:t>
      </w:r>
      <w:proofErr w:type="spellEnd"/>
      <w:r>
        <w:t xml:space="preserve"> </w:t>
      </w:r>
      <w:proofErr w:type="spellStart"/>
      <w:r>
        <w:t>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Model </w:t>
      </w:r>
      <w:proofErr w:type="spellStart"/>
      <w:r>
        <w:t>Damas</w:t>
      </w:r>
      <w:proofErr w:type="spellEnd"/>
      <w:r>
        <w:t xml:space="preserve"> o wzorze kamienia łączy miękką, matową teksturę i delikatnie cętkowany wzór z piaskowo-kremowymi barwami, co pozwala na stworzenie neutralnej bazy dla różnych przestrzeni i stylów. Wypróbuj różne katy ułożenia, różne listwy </w:t>
      </w:r>
      <w:proofErr w:type="spellStart"/>
      <w:r>
        <w:t>gugowe</w:t>
      </w:r>
      <w:proofErr w:type="spellEnd"/>
      <w:r>
        <w:t xml:space="preserve"> i bordiury by </w:t>
      </w:r>
      <w:proofErr w:type="spellStart"/>
      <w:r>
        <w:t>naprawde</w:t>
      </w:r>
      <w:proofErr w:type="spellEnd"/>
      <w:r>
        <w:t xml:space="preserve"> spersonalizować swoja przestrzeń.</w:t>
      </w:r>
    </w:p>
    <w:p w:rsidR="0013370B" w:rsidRDefault="0013370B" w:rsidP="0013370B">
      <w:r>
        <w:t xml:space="preserve">ST11 York </w:t>
      </w:r>
      <w:proofErr w:type="spellStart"/>
      <w:r>
        <w:t>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Rubens York </w:t>
      </w:r>
      <w:proofErr w:type="spellStart"/>
      <w:r>
        <w:t>Stone</w:t>
      </w:r>
      <w:proofErr w:type="spellEnd"/>
      <w:r>
        <w:t xml:space="preserve"> płytki podłogowe </w:t>
      </w:r>
      <w:proofErr w:type="spellStart"/>
      <w:r>
        <w:t>spełniająsię</w:t>
      </w:r>
      <w:proofErr w:type="spellEnd"/>
      <w:r>
        <w:t xml:space="preserve"> w codziennym funkcjonowaniu. Obrazując maślane kolory żółci i ziarnistą strukturę płytki te w większym rozmiarze 457x305mm świetnie komponują się z jaskrawymi i wyrazistymi kolorami projektu.</w:t>
      </w:r>
    </w:p>
    <w:p w:rsidR="0013370B" w:rsidRDefault="0013370B" w:rsidP="0013370B">
      <w:r>
        <w:t xml:space="preserve">ST12 Bath </w:t>
      </w:r>
      <w:proofErr w:type="spellStart"/>
      <w:r>
        <w:t>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Aby osiągnąć ponadczasowy, kolonialny projekt, wybierz beżową tonację piasku Bath </w:t>
      </w:r>
      <w:proofErr w:type="spellStart"/>
      <w:r>
        <w:t>Stone</w:t>
      </w:r>
      <w:proofErr w:type="spellEnd"/>
      <w:r>
        <w:t xml:space="preserve">. Zawierające atrakcyjną wysoce realistyczną </w:t>
      </w:r>
      <w:proofErr w:type="spellStart"/>
      <w:r>
        <w:t>ziarniastą</w:t>
      </w:r>
      <w:proofErr w:type="spellEnd"/>
      <w:r>
        <w:t xml:space="preserve"> strukturę świetnie pasują do staromodnych mebli </w:t>
      </w:r>
      <w:proofErr w:type="spellStart"/>
      <w:r>
        <w:t>pomaloanych</w:t>
      </w:r>
      <w:proofErr w:type="spellEnd"/>
      <w:r>
        <w:t xml:space="preserve"> na biało. Płytki dostępne są w modnych dużych formatach 457x305mm.</w:t>
      </w:r>
    </w:p>
    <w:p w:rsidR="0013370B" w:rsidRDefault="0013370B" w:rsidP="0013370B">
      <w:r>
        <w:t xml:space="preserve">ST14 </w:t>
      </w:r>
      <w:proofErr w:type="spellStart"/>
      <w:r>
        <w:t>Cumbrian</w:t>
      </w:r>
      <w:proofErr w:type="spellEnd"/>
      <w:r>
        <w:t xml:space="preserve"> </w:t>
      </w:r>
      <w:proofErr w:type="spellStart"/>
      <w:r>
        <w:t>Stone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Najciemniejsze odcienie kamienia wapiennego z kolekcji Rubens- </w:t>
      </w:r>
      <w:proofErr w:type="spellStart"/>
      <w:r>
        <w:t>Cumbrian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łączy tony przydymionego grafitu i węgla w nowoczesnym, szerokim formacie płytek 457x305mm. Ze względu na ciemniejsze kolory i dużą wytrzymałość, podłogi te są bardzo praktyczne dla zwierząt. Łatwo również dobrać paski dekoracyjne i krawędzie z linii </w:t>
      </w:r>
      <w:proofErr w:type="spellStart"/>
      <w:r>
        <w:t>Mosaic</w:t>
      </w:r>
      <w:proofErr w:type="spellEnd"/>
      <w:r>
        <w:t xml:space="preserve"> lub Macintosh </w:t>
      </w:r>
      <w:proofErr w:type="spellStart"/>
      <w:r>
        <w:t>borders</w:t>
      </w:r>
      <w:proofErr w:type="spellEnd"/>
      <w:r>
        <w:t>.</w:t>
      </w:r>
    </w:p>
    <w:p w:rsidR="0013370B" w:rsidRDefault="0013370B" w:rsidP="0013370B">
      <w:r>
        <w:t xml:space="preserve">KP39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3370B" w:rsidRDefault="0013370B" w:rsidP="0013370B">
      <w:pPr>
        <w:pBdr>
          <w:bottom w:val="single" w:sz="6" w:space="1" w:color="auto"/>
        </w:pBdr>
      </w:pPr>
      <w:r>
        <w:t xml:space="preserve">Model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łączy bardziej skomplikowany rysunek słojów i ciepłą, złocistą paletę kolorów linii podłóg Rubens imitujących dąb. Połączenie piłowanych sęków i naturalnie wyglądających rys tworzy naprawdę autentyczny styl.</w:t>
      </w:r>
    </w:p>
    <w:p w:rsidR="0013370B" w:rsidRDefault="0013370B" w:rsidP="0013370B">
      <w:r>
        <w:t xml:space="preserve">VGW102T </w:t>
      </w:r>
      <w:proofErr w:type="spellStart"/>
      <w:r>
        <w:t>Charred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3370B" w:rsidRDefault="0013370B" w:rsidP="0013370B">
      <w:r>
        <w:t xml:space="preserve">Deski </w:t>
      </w:r>
      <w:proofErr w:type="spellStart"/>
      <w:r>
        <w:t>Charred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stanowią staranne odwzorowanie zdecydowanego wyglądu osmolonego dębu, które emanuje ogromnym ciepłem, kreując nieodparte wrażenia wizualne. Dzięki temu produktowi ciemne, </w:t>
      </w:r>
      <w:proofErr w:type="spellStart"/>
      <w:r>
        <w:t>złotobursztynowe</w:t>
      </w:r>
      <w:proofErr w:type="spellEnd"/>
      <w:r>
        <w:t xml:space="preserve"> odcienie i mroczne akcenty węgla drzewnego przydadzą charakteru nowoczesnym przestrzeniom.</w:t>
      </w:r>
    </w:p>
    <w:p w:rsidR="0013370B" w:rsidRDefault="0013370B" w:rsidP="0013370B"/>
    <w:sectPr w:rsidR="0013370B" w:rsidSect="00133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24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370B"/>
    <w:rsid w:val="00134439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1B24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1005"/>
    <w:rsid w:val="001E46C6"/>
    <w:rsid w:val="001E4C69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D39"/>
    <w:rsid w:val="00365AD1"/>
    <w:rsid w:val="003717FC"/>
    <w:rsid w:val="00380097"/>
    <w:rsid w:val="00384DAB"/>
    <w:rsid w:val="003918F3"/>
    <w:rsid w:val="00393F84"/>
    <w:rsid w:val="00395EA6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0D2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7010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3A99"/>
    <w:rsid w:val="00764D68"/>
    <w:rsid w:val="00764FE8"/>
    <w:rsid w:val="00766182"/>
    <w:rsid w:val="00774A73"/>
    <w:rsid w:val="0078657A"/>
    <w:rsid w:val="007872AF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1C28"/>
    <w:rsid w:val="00E76573"/>
    <w:rsid w:val="00E81BF9"/>
    <w:rsid w:val="00E8297E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74F"/>
    <w:rsid w:val="00FD377C"/>
    <w:rsid w:val="00FD432A"/>
    <w:rsid w:val="00FD7762"/>
    <w:rsid w:val="00FD7FC2"/>
    <w:rsid w:val="00FE149F"/>
    <w:rsid w:val="00FE1A46"/>
    <w:rsid w:val="00FF496F"/>
    <w:rsid w:val="00FF4FA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3215-B20C-4B41-9C3C-0385994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1555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2</cp:revision>
  <dcterms:created xsi:type="dcterms:W3CDTF">2020-11-23T15:57:00Z</dcterms:created>
  <dcterms:modified xsi:type="dcterms:W3CDTF">2020-11-23T16:19:00Z</dcterms:modified>
</cp:coreProperties>
</file>