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10" w:rsidRDefault="001E0A10" w:rsidP="001E0A10">
      <w:r>
        <w:t>VGW8</w:t>
      </w:r>
      <w:bookmarkStart w:id="0" w:name="_GoBack"/>
      <w:bookmarkEnd w:id="0"/>
      <w:r>
        <w:t xml:space="preserve">6T-SCB Classic </w:t>
      </w:r>
      <w:proofErr w:type="spellStart"/>
      <w:r>
        <w:t>Oak</w:t>
      </w:r>
      <w:proofErr w:type="spellEnd"/>
    </w:p>
    <w:p w:rsidR="003425FC" w:rsidRDefault="001E0A10" w:rsidP="001E0A10">
      <w:pPr>
        <w:pBdr>
          <w:bottom w:val="single" w:sz="6" w:space="1" w:color="auto"/>
        </w:pBdr>
      </w:pPr>
      <w:r>
        <w:t xml:space="preserve">Jeśli chcesz nadać swojemu wnętrzu prawdziwie klasyczny charakter drewna dębowego i nie zaprzątać sobie głowy trudnościami związanymi z utrzymaniem dębowego parkietu, deska </w:t>
      </w:r>
      <w:proofErr w:type="spellStart"/>
      <w:r>
        <w:t>Designflooring</w:t>
      </w:r>
      <w:proofErr w:type="spellEnd"/>
      <w:r>
        <w:t xml:space="preserve"> Classic </w:t>
      </w:r>
      <w:proofErr w:type="spellStart"/>
      <w:r>
        <w:t>Oak</w:t>
      </w:r>
      <w:proofErr w:type="spellEnd"/>
      <w:r>
        <w:t xml:space="preserve"> z kolekcji Van Gogh to idealne rozwiązanie dla Ciebie. Tradycyjne słoje dębowe cechują się bogatą mieszanką ciepłych, różnorodnych odcieni, zapewniając prawdziwie tradycyjny wygląd.</w:t>
      </w:r>
    </w:p>
    <w:p w:rsidR="001E0A10" w:rsidRDefault="001E0A10" w:rsidP="001E0A10">
      <w:r>
        <w:t>LLT202 Indiana</w:t>
      </w:r>
    </w:p>
    <w:p w:rsidR="001E0A10" w:rsidRDefault="001E0A10" w:rsidP="001E0A10">
      <w:r>
        <w:t xml:space="preserve">Beżowe i kremowe odcienie  </w:t>
      </w:r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 Indiana płytki o wzorze kamienia stworzą idealne tło do wnętrz podobnym stylowi </w:t>
      </w:r>
      <w:proofErr w:type="spellStart"/>
      <w:r>
        <w:t>decor</w:t>
      </w:r>
      <w:proofErr w:type="spellEnd"/>
      <w:r>
        <w:t>.</w:t>
      </w:r>
    </w:p>
    <w:p w:rsidR="001E0A10" w:rsidRDefault="001E0A10" w:rsidP="001E0A10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>, jest idealnym rozwiązaniem przy instalacjach na powierzchniach już istniejących podłóg. Może być instalowana z dodatkiem kleju lub bez jego zastosowania, dzięki temu znacząco przyśpiesza czas montażu.</w:t>
      </w:r>
    </w:p>
    <w:p w:rsidR="001E0A10" w:rsidRDefault="001E0A10" w:rsidP="001E0A10">
      <w:r>
        <w:t xml:space="preserve">LM01 Jersey </w:t>
      </w:r>
      <w:proofErr w:type="spellStart"/>
      <w:r>
        <w:t>Limestone</w:t>
      </w:r>
      <w:proofErr w:type="spellEnd"/>
    </w:p>
    <w:p w:rsidR="001E0A10" w:rsidRDefault="001E0A10" w:rsidP="001E0A10">
      <w:pPr>
        <w:pBdr>
          <w:bottom w:val="single" w:sz="6" w:space="1" w:color="auto"/>
        </w:pBdr>
      </w:pPr>
      <w:r>
        <w:t xml:space="preserve">Model Jersey Island </w:t>
      </w:r>
      <w:proofErr w:type="spellStart"/>
      <w:r>
        <w:t>Limestone</w:t>
      </w:r>
      <w:proofErr w:type="spellEnd"/>
      <w:r>
        <w:t xml:space="preserve"> charakteryzuje się jasnymi, maślanymi odcieniami i posiada delikatną, nieregularną fakturę powierzchni i miękki, centkowany wzór. Każdy panel składa się z płytek o różnych rozmiarach by odtworzyć losowy sposób układania tradycyjnych podłóg z wapienia.</w:t>
      </w:r>
    </w:p>
    <w:p w:rsidR="001E0A10" w:rsidRDefault="001E0A10" w:rsidP="001E0A10">
      <w:r>
        <w:t xml:space="preserve">LM03 Alderney </w:t>
      </w:r>
      <w:proofErr w:type="spellStart"/>
      <w:r>
        <w:t>Limestone</w:t>
      </w:r>
      <w:proofErr w:type="spellEnd"/>
    </w:p>
    <w:p w:rsidR="001E0A10" w:rsidRDefault="001E0A10" w:rsidP="001E0A10">
      <w:pPr>
        <w:pBdr>
          <w:bottom w:val="single" w:sz="6" w:space="1" w:color="auto"/>
        </w:pBdr>
      </w:pPr>
      <w:r>
        <w:t xml:space="preserve">Chłodna, kredowobiała świeżość modelu Alderney Island </w:t>
      </w:r>
      <w:proofErr w:type="spellStart"/>
      <w:r>
        <w:t>Limestone</w:t>
      </w:r>
      <w:proofErr w:type="spellEnd"/>
      <w:r>
        <w:t xml:space="preserve"> daje możliwość stworzenia przestronnej, klasycznej bazy dla każdej przestrzeni. Każdy panel składa się z płytek o różnych rozmiarach oddzielonych realistycznymi listwami fugowymi, by stworzyć efekt losowego ułożenia tak popularnego dla podłóg z wapienia.</w:t>
      </w:r>
    </w:p>
    <w:p w:rsidR="001E0A10" w:rsidRDefault="001E0A10" w:rsidP="001E0A10">
      <w:r>
        <w:t xml:space="preserve">VGW87T </w:t>
      </w:r>
      <w:proofErr w:type="spellStart"/>
      <w:r>
        <w:t>Walnut</w:t>
      </w:r>
      <w:proofErr w:type="spellEnd"/>
    </w:p>
    <w:p w:rsidR="001E0A10" w:rsidRDefault="001E0A10" w:rsidP="001E0A10">
      <w:pPr>
        <w:pBdr>
          <w:bottom w:val="single" w:sz="6" w:space="1" w:color="auto"/>
        </w:pBdr>
      </w:pPr>
      <w:r>
        <w:t xml:space="preserve">Model </w:t>
      </w:r>
      <w:proofErr w:type="spellStart"/>
      <w:r>
        <w:t>Walnut</w:t>
      </w:r>
      <w:proofErr w:type="spellEnd"/>
      <w:r>
        <w:t xml:space="preserve"> w naszej kolekcji podłóg o wzorach drewna Van Gogh łączy spektakularny, liniowy rysunek słojów ze zróżnicowaną paletą czekoladowych i brązowych odcieni. Zastanów się nad wykorzystaniem bordiur typu </w:t>
      </w:r>
      <w:proofErr w:type="spellStart"/>
      <w:r>
        <w:t>keyline</w:t>
      </w:r>
      <w:proofErr w:type="spellEnd"/>
      <w:r>
        <w:t xml:space="preserve"> w ciemniejszym, czekoladowym odcieniu dla uzyskania naprawdę </w:t>
      </w:r>
      <w:proofErr w:type="spellStart"/>
      <w:r>
        <w:t>fenopmenalnego</w:t>
      </w:r>
      <w:proofErr w:type="spellEnd"/>
      <w:r>
        <w:t xml:space="preserve"> efektu końcowego.</w:t>
      </w:r>
    </w:p>
    <w:p w:rsidR="001E0A10" w:rsidRDefault="001E0A10" w:rsidP="001E0A10">
      <w:r>
        <w:t xml:space="preserve">LM21 </w:t>
      </w:r>
      <w:proofErr w:type="spellStart"/>
      <w:r>
        <w:t>Oakeley</w:t>
      </w:r>
      <w:proofErr w:type="spellEnd"/>
    </w:p>
    <w:p w:rsidR="001E0A10" w:rsidRDefault="001E0A10" w:rsidP="001E0A10">
      <w:pPr>
        <w:pBdr>
          <w:bottom w:val="single" w:sz="6" w:space="1" w:color="auto"/>
        </w:pBdr>
      </w:pPr>
      <w:r>
        <w:t xml:space="preserve">Inspiracją dla </w:t>
      </w:r>
      <w:proofErr w:type="spellStart"/>
      <w:r>
        <w:t>Oakeley</w:t>
      </w:r>
      <w:proofErr w:type="spellEnd"/>
      <w:r>
        <w:t xml:space="preserve"> Slate był oryginalny łupek pozyskany z największego podziemnego kamieniołomu na świecie, </w:t>
      </w:r>
      <w:proofErr w:type="spellStart"/>
      <w:r>
        <w:t>Oakley</w:t>
      </w:r>
      <w:proofErr w:type="spellEnd"/>
      <w:r>
        <w:t xml:space="preserve"> </w:t>
      </w:r>
      <w:proofErr w:type="spellStart"/>
      <w:r>
        <w:t>Quarry</w:t>
      </w:r>
      <w:proofErr w:type="spellEnd"/>
      <w:r>
        <w:t xml:space="preserve"> w </w:t>
      </w:r>
      <w:proofErr w:type="spellStart"/>
      <w:r>
        <w:t>Blaenau</w:t>
      </w:r>
      <w:proofErr w:type="spellEnd"/>
      <w:r>
        <w:t xml:space="preserve"> </w:t>
      </w:r>
      <w:proofErr w:type="spellStart"/>
      <w:r>
        <w:t>Ffestiniog</w:t>
      </w:r>
      <w:proofErr w:type="spellEnd"/>
      <w:r>
        <w:t>, Północna Walia, przed jego zamknięciem w kwietniu 2010 r. Ten intrygujący walijski kamień wyróżnia się deseniem oraz odcieniami szarości i subtelnymi przebłyskami ciemnej zieleni.</w:t>
      </w:r>
    </w:p>
    <w:p w:rsidR="001E0A10" w:rsidRDefault="001E0A10" w:rsidP="001E0A10">
      <w:r>
        <w:t xml:space="preserve">AP01 Blond </w:t>
      </w:r>
      <w:proofErr w:type="spellStart"/>
      <w:r>
        <w:t>Oak</w:t>
      </w:r>
      <w:proofErr w:type="spellEnd"/>
      <w:r>
        <w:t xml:space="preserve"> </w:t>
      </w:r>
      <w:proofErr w:type="spellStart"/>
      <w:r>
        <w:t>Parquet</w:t>
      </w:r>
      <w:proofErr w:type="spellEnd"/>
    </w:p>
    <w:p w:rsidR="001E0A10" w:rsidRDefault="001E0A10" w:rsidP="001E0A10">
      <w:pPr>
        <w:pBdr>
          <w:bottom w:val="single" w:sz="6" w:space="1" w:color="auto"/>
        </w:pBdr>
      </w:pPr>
      <w:r>
        <w:t xml:space="preserve">Nasza jasna podłoga Blond </w:t>
      </w:r>
      <w:proofErr w:type="spellStart"/>
      <w:r>
        <w:t>Oak</w:t>
      </w:r>
      <w:proofErr w:type="spellEnd"/>
      <w:r>
        <w:t xml:space="preserve"> łączy ciepłą barwę, teksturę i zalety praktyczne z formatem parkietu i </w:t>
      </w:r>
      <w:proofErr w:type="spellStart"/>
      <w:r>
        <w:t>różnoroodnymi</w:t>
      </w:r>
      <w:proofErr w:type="spellEnd"/>
      <w:r>
        <w:t xml:space="preserve"> możliwościami </w:t>
      </w:r>
      <w:proofErr w:type="spellStart"/>
      <w:r>
        <w:t>ułożenia.Pojedyncze</w:t>
      </w:r>
      <w:proofErr w:type="spellEnd"/>
      <w:r>
        <w:t xml:space="preserve"> deski (w wymiarach 228mm x 76mm) naszych podłóg parkietowych mogą być układane w różny sposób, co daje możliwość stworzenia wielu styli pasujących do każdego wnętrza.</w:t>
      </w:r>
    </w:p>
    <w:p w:rsidR="00625F25" w:rsidRDefault="00625F25" w:rsidP="00625F25">
      <w:r>
        <w:t xml:space="preserve">RP98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Linen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1E0A10" w:rsidRDefault="00625F25" w:rsidP="00625F25">
      <w:pPr>
        <w:pBdr>
          <w:bottom w:val="single" w:sz="6" w:space="1" w:color="auto"/>
        </w:pBdr>
      </w:pPr>
      <w:r>
        <w:t>Wyjątkowa, bogata faktura tej deski o wyglądzie bielonego dębu, z zaznaczonymi sękami i słojami, świetnie nadaje się do różnych pomieszczeń i stylów aranżacji. Co więcej, wymiary 915 mm x 76 mm znakomicie nadają się do układania bardziej kreatywnych wzorów, zwłaszcza jodełki i zygzaków.</w:t>
      </w:r>
    </w:p>
    <w:p w:rsidR="00625F25" w:rsidRDefault="00625F25" w:rsidP="00625F25">
      <w:r>
        <w:t xml:space="preserve">HC03 </w:t>
      </w:r>
      <w:proofErr w:type="spellStart"/>
      <w:r>
        <w:t>Dusk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25F25" w:rsidRDefault="00625F25" w:rsidP="00625F25">
      <w:pPr>
        <w:pBdr>
          <w:bottom w:val="single" w:sz="6" w:space="1" w:color="auto"/>
        </w:pBdr>
      </w:pPr>
      <w:r>
        <w:t xml:space="preserve">Deski o wzorze drewna naszego modelu </w:t>
      </w:r>
      <w:proofErr w:type="spellStart"/>
      <w:r>
        <w:t>Dusk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inspirowane są trendem do tworzenia nowoczesnych ale relaksujących przestrzeni. Tekstury </w:t>
      </w:r>
      <w:proofErr w:type="spellStart"/>
      <w:r>
        <w:t>io</w:t>
      </w:r>
      <w:proofErr w:type="spellEnd"/>
      <w:r>
        <w:t xml:space="preserve"> detale charakterystyczne dla całej kolekcji Premier </w:t>
      </w:r>
      <w:proofErr w:type="spellStart"/>
      <w:r>
        <w:t>Oak</w:t>
      </w:r>
      <w:proofErr w:type="spellEnd"/>
      <w:r>
        <w:t xml:space="preserve"> łączą się tu z chłodniejszymi szaro-brązowymi tonacjami bielonego lub piaskowanego drewna, nadając podłodze naprawdę wyróżniającego się, </w:t>
      </w:r>
      <w:proofErr w:type="spellStart"/>
      <w:r>
        <w:t>atrakcynego</w:t>
      </w:r>
      <w:proofErr w:type="spellEnd"/>
      <w:r>
        <w:t xml:space="preserve"> wyglądu.</w:t>
      </w:r>
    </w:p>
    <w:p w:rsidR="00625F25" w:rsidRDefault="00625F25" w:rsidP="00625F25">
      <w:r>
        <w:t xml:space="preserve">LM15 </w:t>
      </w:r>
      <w:proofErr w:type="spellStart"/>
      <w:r>
        <w:t>Otono</w:t>
      </w:r>
      <w:proofErr w:type="spellEnd"/>
    </w:p>
    <w:p w:rsidR="00625F25" w:rsidRDefault="00625F25" w:rsidP="00625F25">
      <w:pPr>
        <w:pBdr>
          <w:bottom w:val="single" w:sz="6" w:space="1" w:color="auto"/>
        </w:pBdr>
      </w:pPr>
      <w:r>
        <w:lastRenderedPageBreak/>
        <w:t>Ten klasyczny włoski marmur o szaroczarnej barwie charakteryzuje szyk i przyjemny wygląd dzięki delikatnemu matowemu wykończeniu i ciemnoszaremu charakterystycznemu dla tego kamienia wzorowi z muśnięciami błękitu.</w:t>
      </w:r>
    </w:p>
    <w:p w:rsidR="00625F25" w:rsidRDefault="00625F25" w:rsidP="00625F25">
      <w:r>
        <w:t xml:space="preserve">LM28 </w:t>
      </w:r>
      <w:proofErr w:type="spellStart"/>
      <w:r>
        <w:t>Caldera</w:t>
      </w:r>
      <w:proofErr w:type="spellEnd"/>
    </w:p>
    <w:p w:rsidR="00625F25" w:rsidRDefault="00625F25" w:rsidP="00625F25">
      <w:pPr>
        <w:pBdr>
          <w:bottom w:val="single" w:sz="6" w:space="1" w:color="auto"/>
        </w:pBdr>
      </w:pPr>
      <w:r>
        <w:t>Ten chłodny i świeży trawertyn mieni się delikatnymi, lekkimi odcieniami na subtelnym marmurkowym wzorze, nadającym mu interesującego i niejednorodnego wyglądu.</w:t>
      </w:r>
    </w:p>
    <w:p w:rsidR="00625F25" w:rsidRDefault="00625F25" w:rsidP="00625F25">
      <w:proofErr w:type="spellStart"/>
      <w:r>
        <w:t>Molten</w:t>
      </w:r>
      <w:proofErr w:type="spellEnd"/>
      <w:r>
        <w:t xml:space="preserve"> to płytki inspirowane pordzewiałą stalą. Ich jasnopomarańczowe zabarwienie tonują ciemniejsze plamy imitujące efekt utlenienia i działania czynników pogodowych na stal. Pozwala to stworzyć efektowną podłogę o modnym, industrialnym charakterze, zapewniającą przy tym ciepłe podłoże oraz łatwe utrzymanie w czystości charakterystyczne dla firmy </w:t>
      </w:r>
      <w:proofErr w:type="spellStart"/>
      <w:r>
        <w:t>Designflooring</w:t>
      </w:r>
      <w:proofErr w:type="spellEnd"/>
      <w:r>
        <w:t>.</w:t>
      </w:r>
    </w:p>
    <w:p w:rsidR="00625F25" w:rsidRDefault="00625F25" w:rsidP="00625F25">
      <w:pPr>
        <w:pBdr>
          <w:bottom w:val="single" w:sz="6" w:space="1" w:color="auto"/>
        </w:pBdr>
      </w:pPr>
      <w:r>
        <w:t xml:space="preserve">Przy oświetleniu szerokie skosy płytek Monet podkreślają ich prostokątny obrys. Można do nich dodać paski imitujące fugi, by uzyskać bardziej tradycyjny wygląd podłogi. W połączeniu z gładkimi ścianami i prostymi </w:t>
      </w:r>
      <w:proofErr w:type="spellStart"/>
      <w:r>
        <w:t>wykończeniami</w:t>
      </w:r>
      <w:proofErr w:type="spellEnd"/>
      <w:r>
        <w:t xml:space="preserve"> płytki nadadzą pomieszczeniu surowy, industrialny charakter.</w:t>
      </w:r>
    </w:p>
    <w:p w:rsidR="00625F25" w:rsidRDefault="00625F25" w:rsidP="00625F25">
      <w:r>
        <w:t xml:space="preserve">CER17 </w:t>
      </w:r>
      <w:proofErr w:type="spellStart"/>
      <w:r>
        <w:t>Drift</w:t>
      </w:r>
      <w:proofErr w:type="spellEnd"/>
    </w:p>
    <w:p w:rsidR="00625F25" w:rsidRDefault="00625F25" w:rsidP="00625F25">
      <w:r>
        <w:t xml:space="preserve">Podłoga </w:t>
      </w:r>
      <w:proofErr w:type="spellStart"/>
      <w:r>
        <w:t>Drift</w:t>
      </w:r>
      <w:proofErr w:type="spellEnd"/>
      <w:r>
        <w:t xml:space="preserve"> inspirowana była klasyczną strukturą i ponadczasowym wdziękiem wapienia, dlatego jej faktura odwzorowuje ziarnisty charakter tego naturalnego kamienia, jednak w znacznie ciemniejszej palecie barw. Połączenie tonów szarych i czarnych zapewnia łagodniejszą alternatywę dla jednokolorowych, ciemnych podłóg kamiennych.</w:t>
      </w:r>
    </w:p>
    <w:p w:rsidR="00625F25" w:rsidRDefault="00625F25" w:rsidP="00625F25">
      <w:pPr>
        <w:pBdr>
          <w:bottom w:val="single" w:sz="6" w:space="1" w:color="auto"/>
        </w:pBdr>
      </w:pPr>
      <w:r>
        <w:t>Przy oświetleniu szerokie skosy płytek Monet podkreślają ich prostokątny kształt. Można do nich dodać paski imitujące fugi, by uzyskać bardziej tradycyjny wygląd podłogi: ciemne dadzą efekt bardziej jednolity, a jasne dodadzą całości kontrastu.</w:t>
      </w:r>
    </w:p>
    <w:p w:rsidR="00625F25" w:rsidRDefault="00625F25" w:rsidP="00625F25">
      <w:r>
        <w:t xml:space="preserve">CER21 </w:t>
      </w:r>
      <w:proofErr w:type="spellStart"/>
      <w:r>
        <w:t>Sindon</w:t>
      </w:r>
      <w:proofErr w:type="spellEnd"/>
    </w:p>
    <w:p w:rsidR="00625F25" w:rsidRDefault="00625F25" w:rsidP="00625F25">
      <w:r>
        <w:t xml:space="preserve">Podłoga </w:t>
      </w:r>
      <w:proofErr w:type="spellStart"/>
      <w:r>
        <w:t>Sindon</w:t>
      </w:r>
      <w:proofErr w:type="spellEnd"/>
      <w:r>
        <w:t xml:space="preserve"> swoim wyglądem przypomina fakturę tkaniny i betonowej posadzki. Jest to jedna z trzech linii płytek Monet, która łączy w sobie finezję wzoru ze spokojnymi barwami, dzięki czemu doskonale komponuje się z każdym pomieszczeniem. Ciepła antracytowa baza z przebłyskami czerni, szarości i bieli sprawiają, że płytki </w:t>
      </w:r>
      <w:proofErr w:type="spellStart"/>
      <w:r>
        <w:t>Sindon</w:t>
      </w:r>
      <w:proofErr w:type="spellEnd"/>
      <w:r>
        <w:t xml:space="preserve"> to świetny wybór do przestrzeni, gdzie pożądana jest ciemna podłoga, jednak bez surowości, którą mogłaby wprowadzić jednolita czerń.</w:t>
      </w:r>
    </w:p>
    <w:p w:rsidR="00625F25" w:rsidRDefault="00625F25" w:rsidP="00625F25">
      <w:pPr>
        <w:pBdr>
          <w:bottom w:val="single" w:sz="6" w:space="1" w:color="auto"/>
        </w:pBdr>
      </w:pPr>
      <w:r>
        <w:t>Przy oświetleniu szerokie skosy płytek Monet podkreślają ich prostokątny kształt. Można do nich dodać paski imitujące fugi, by uzyskać bardziej tradycyjny wygląd podłogi: ciemne dadzą efekt bardziej jednolity, a jasne dodadzą całości kontrastu.</w:t>
      </w:r>
    </w:p>
    <w:p w:rsidR="00625F25" w:rsidRDefault="00625F25" w:rsidP="00625F25">
      <w:r>
        <w:t xml:space="preserve">VGW52T Auckland </w:t>
      </w:r>
      <w:proofErr w:type="spellStart"/>
      <w:r>
        <w:t>Oak</w:t>
      </w:r>
      <w:proofErr w:type="spellEnd"/>
    </w:p>
    <w:p w:rsidR="00625F25" w:rsidRDefault="00625F25" w:rsidP="00625F25">
      <w:pPr>
        <w:pBdr>
          <w:bottom w:val="single" w:sz="6" w:space="1" w:color="auto"/>
        </w:pBdr>
      </w:pPr>
      <w:r>
        <w:t xml:space="preserve">Model Auckland </w:t>
      </w:r>
      <w:proofErr w:type="spellStart"/>
      <w:r>
        <w:t>Oak</w:t>
      </w:r>
      <w:proofErr w:type="spellEnd"/>
      <w:r>
        <w:t xml:space="preserve"> z </w:t>
      </w:r>
      <w:proofErr w:type="spellStart"/>
      <w:r>
        <w:t>linni</w:t>
      </w:r>
      <w:proofErr w:type="spellEnd"/>
      <w:r>
        <w:t xml:space="preserve"> desek o wzorach drewna Van Gogh ma klasyczny, miodowy kolor dębu z charakterystycznym, autentycznym rysunkiem sęków dla uzyskania uniwersalnego wyglądu dębiny.</w:t>
      </w:r>
    </w:p>
    <w:p w:rsidR="00396858" w:rsidRDefault="00396858" w:rsidP="00396858">
      <w:r>
        <w:t xml:space="preserve">VGW86T Classic </w:t>
      </w:r>
      <w:proofErr w:type="spellStart"/>
      <w:r>
        <w:t>Oak</w:t>
      </w:r>
      <w:proofErr w:type="spellEnd"/>
    </w:p>
    <w:p w:rsidR="00625F25" w:rsidRDefault="00396858" w:rsidP="00396858">
      <w:pPr>
        <w:pBdr>
          <w:bottom w:val="single" w:sz="6" w:space="1" w:color="auto"/>
        </w:pBdr>
      </w:pPr>
      <w:r>
        <w:t xml:space="preserve">By w Twojej przestrzeni uzyskać klasyczny wygląd dębiny, ale bez wyzwań związanych z konserwacją i utrzymaniem naturalnego drewna, nie szukaj więcej. Jest model Classic </w:t>
      </w:r>
      <w:proofErr w:type="spellStart"/>
      <w:r>
        <w:t>Oak</w:t>
      </w:r>
      <w:proofErr w:type="spellEnd"/>
      <w:r>
        <w:t xml:space="preserve"> z kolekcji Van Gogh od </w:t>
      </w:r>
      <w:proofErr w:type="spellStart"/>
      <w:r>
        <w:t>Designflooring</w:t>
      </w:r>
      <w:proofErr w:type="spellEnd"/>
      <w:r>
        <w:t>. Tradycyjny rysunek słojów drewna dębowego łączy się z bogatą mieszanką zróżnicowanych, ciepłych odcieni dla uzyskania autentycznego, tradycyjnego wyglądu.</w:t>
      </w:r>
    </w:p>
    <w:p w:rsidR="00396858" w:rsidRDefault="00396858" w:rsidP="00396858">
      <w:r>
        <w:t>WP311 Grano</w:t>
      </w:r>
    </w:p>
    <w:p w:rsidR="00396858" w:rsidRDefault="00396858" w:rsidP="00396858">
      <w:pPr>
        <w:pBdr>
          <w:bottom w:val="single" w:sz="6" w:space="1" w:color="auto"/>
        </w:pBdr>
      </w:pPr>
      <w:r>
        <w:t>Model Grano z kolekcji podłóg o wzorach drewna Opus da Ci naprawdę nowoczesny, czysty wygląd szarego drewna umożliwiając stworzenie współczesnej i uniwersalnej bazy dla każdego projektu pokoju. Połączony z odrobina koloru nada wnętrzu życia lub zastosowany bez dodatków stworzy oszczędną, modernistyczną przestrzeń.</w:t>
      </w:r>
    </w:p>
    <w:p w:rsidR="00396858" w:rsidRDefault="00396858" w:rsidP="00396858">
      <w:r>
        <w:t xml:space="preserve">ST12 Bath </w:t>
      </w:r>
      <w:proofErr w:type="spellStart"/>
      <w:r>
        <w:t>Stone</w:t>
      </w:r>
      <w:proofErr w:type="spellEnd"/>
    </w:p>
    <w:p w:rsidR="00396858" w:rsidRDefault="00396858" w:rsidP="00396858">
      <w:pPr>
        <w:pBdr>
          <w:bottom w:val="single" w:sz="6" w:space="1" w:color="auto"/>
        </w:pBdr>
      </w:pPr>
      <w:r>
        <w:lastRenderedPageBreak/>
        <w:t xml:space="preserve">Aby osiągnąć ponadczasowy, kolonialny projekt, wybierz beżową tonację piasku Bath </w:t>
      </w:r>
      <w:proofErr w:type="spellStart"/>
      <w:r>
        <w:t>Stone</w:t>
      </w:r>
      <w:proofErr w:type="spellEnd"/>
      <w:r>
        <w:t xml:space="preserve">. Zawierające atrakcyjną wysoce realistyczną </w:t>
      </w:r>
      <w:proofErr w:type="spellStart"/>
      <w:r>
        <w:t>ziarniastą</w:t>
      </w:r>
      <w:proofErr w:type="spellEnd"/>
      <w:r>
        <w:t xml:space="preserve"> strukturę świetnie pasują do staromodnych mebli </w:t>
      </w:r>
      <w:proofErr w:type="spellStart"/>
      <w:r>
        <w:t>pomaloanych</w:t>
      </w:r>
      <w:proofErr w:type="spellEnd"/>
      <w:r>
        <w:t xml:space="preserve"> na biało. Płytki dostępne są w modnych dużych formatach 457x305mm.</w:t>
      </w:r>
    </w:p>
    <w:p w:rsidR="00396858" w:rsidRDefault="00396858" w:rsidP="00396858">
      <w:r>
        <w:t xml:space="preserve">T98 Cara </w:t>
      </w:r>
      <w:proofErr w:type="spellStart"/>
      <w:r>
        <w:t>Marble</w:t>
      </w:r>
      <w:proofErr w:type="spellEnd"/>
    </w:p>
    <w:p w:rsidR="00396858" w:rsidRDefault="00396858" w:rsidP="00396858">
      <w:pPr>
        <w:pBdr>
          <w:bottom w:val="single" w:sz="6" w:space="1" w:color="auto"/>
        </w:pBdr>
      </w:pPr>
      <w:r>
        <w:t xml:space="preserve">Dla uzyskania neutralnego efektu marmuru nie szukaj dalej. Model Cara to delikatny rysunek marmuru w odcieniach beżu, atrakcyjny ale neutralny, pozwalający na stworzenie cieplejszej, bardziej domowej atmosfery. Pamiętaj by przejrzeć ofertę listew wykończeniowych </w:t>
      </w:r>
      <w:proofErr w:type="spellStart"/>
      <w:r>
        <w:t>pozwalajacych</w:t>
      </w:r>
      <w:proofErr w:type="spellEnd"/>
      <w:r>
        <w:t xml:space="preserve"> na uzyskanie unikalnego efektu końcowego.</w:t>
      </w:r>
    </w:p>
    <w:p w:rsidR="00396858" w:rsidRDefault="00396858" w:rsidP="00396858">
      <w:r>
        <w:t xml:space="preserve">KP40 American </w:t>
      </w:r>
      <w:proofErr w:type="spellStart"/>
      <w:r>
        <w:t>Oak</w:t>
      </w:r>
      <w:proofErr w:type="spellEnd"/>
    </w:p>
    <w:p w:rsidR="00396858" w:rsidRDefault="00396858" w:rsidP="00396858">
      <w:pPr>
        <w:pBdr>
          <w:bottom w:val="single" w:sz="6" w:space="1" w:color="auto"/>
        </w:pBdr>
      </w:pPr>
      <w:r>
        <w:t xml:space="preserve">Ten model o jasnozłotym odcieniu i wyróżniającym się rysunku słojów i sęków posiada klasyczny wygląd dębiny. Zastanów się nad użyciem delikatnej bordiury lub listwy typu </w:t>
      </w:r>
      <w:proofErr w:type="spellStart"/>
      <w:r>
        <w:t>keyline</w:t>
      </w:r>
      <w:proofErr w:type="spellEnd"/>
      <w:r>
        <w:t xml:space="preserve"> by </w:t>
      </w:r>
      <w:proofErr w:type="spellStart"/>
      <w:r>
        <w:t>nadac</w:t>
      </w:r>
      <w:proofErr w:type="spellEnd"/>
      <w:r>
        <w:t xml:space="preserve"> przestrzeni naprawdę indywidualnego charakteru.</w:t>
      </w:r>
    </w:p>
    <w:p w:rsidR="00396858" w:rsidRDefault="00396858" w:rsidP="00396858">
      <w:r>
        <w:t xml:space="preserve">KP96 </w:t>
      </w:r>
      <w:proofErr w:type="spellStart"/>
      <w:r>
        <w:t>Mid</w:t>
      </w:r>
      <w:proofErr w:type="spellEnd"/>
      <w:r>
        <w:t xml:space="preserve">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396858" w:rsidRDefault="00396858" w:rsidP="00396858">
      <w:pPr>
        <w:pBdr>
          <w:bottom w:val="single" w:sz="6" w:space="1" w:color="auto"/>
        </w:pBdr>
      </w:pPr>
      <w:r>
        <w:t>Nasza kolekcja ''</w:t>
      </w:r>
      <w:proofErr w:type="spellStart"/>
      <w:r>
        <w:t>Mid</w:t>
      </w:r>
      <w:proofErr w:type="spellEnd"/>
      <w:r>
        <w:t xml:space="preserve">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'' przedstawia deski podłogowe w uderzającym kolorze zakurzonych jasnych brązów z delikatną barwą złota. Imitując zużyty wygląd i rustykalny wzór, nasze deski </w:t>
      </w:r>
      <w:proofErr w:type="spellStart"/>
      <w:r>
        <w:t>Mid</w:t>
      </w:r>
      <w:proofErr w:type="spellEnd"/>
      <w:r>
        <w:t xml:space="preserve">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w wymiarach 915x152mm  świetnie komponują się z elektryzującym staromodnym stylem i bardziej tradycyjnymi wystrojami wnętrz. Kliknij na kolejne zakładki, aby zobaczyć projekty </w:t>
      </w:r>
      <w:proofErr w:type="spellStart"/>
      <w:r>
        <w:t>listw</w:t>
      </w:r>
      <w:proofErr w:type="spellEnd"/>
      <w:r>
        <w:t xml:space="preserve"> dekoracyjnych i bordiur. Możesz również znaleźć informacje gdzie możesz </w:t>
      </w:r>
      <w:proofErr w:type="spellStart"/>
      <w:r>
        <w:t>zkupić</w:t>
      </w:r>
      <w:proofErr w:type="spellEnd"/>
      <w:r>
        <w:t xml:space="preserve"> podłogi i otrzymać informacje jak o nie dbać.</w:t>
      </w:r>
    </w:p>
    <w:p w:rsidR="00396858" w:rsidRDefault="00396858" w:rsidP="00396858">
      <w:r>
        <w:t xml:space="preserve">KP95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Washed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396858" w:rsidRDefault="00396858" w:rsidP="00396858">
      <w:pPr>
        <w:pBdr>
          <w:bottom w:val="single" w:sz="6" w:space="1" w:color="auto"/>
        </w:pBdr>
      </w:pPr>
      <w:r>
        <w:t xml:space="preserve">Nasza kolekcja desek podłogowych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Washed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przedstawia wariant autentycznie wyglądającej powierzchni i struktury desek w barwach zużytego wapna. Wraz z nieznaczną tonacją różu i delikatnych różanych odcieni, podłoga ta jest nieoczekiwaną alternatywą do brązowych i szarych podłóg i wygląda świetnie w parze z neutralnymi i miękkimi pastelami.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Washed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deski podłogowe dostępne są  w szerszym niż zazwyczaj formacie 915x152mm.</w:t>
      </w:r>
    </w:p>
    <w:p w:rsidR="00396858" w:rsidRDefault="00396858" w:rsidP="00396858">
      <w:r>
        <w:t xml:space="preserve">KP103 </w:t>
      </w:r>
      <w:proofErr w:type="spellStart"/>
      <w:r>
        <w:t>Mid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396858" w:rsidRDefault="00396858" w:rsidP="00396858">
      <w:pPr>
        <w:pBdr>
          <w:bottom w:val="single" w:sz="6" w:space="1" w:color="auto"/>
        </w:pBdr>
      </w:pPr>
      <w:r>
        <w:t xml:space="preserve">Jedna z kolekcji Rubensa- </w:t>
      </w:r>
      <w:proofErr w:type="spellStart"/>
      <w:r>
        <w:t>Mid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ma najbardziej nierówną i chropowatą powierzchnię.  </w:t>
      </w:r>
      <w:proofErr w:type="spellStart"/>
      <w:r>
        <w:t>Zreluktywowane</w:t>
      </w:r>
      <w:proofErr w:type="spellEnd"/>
      <w:r>
        <w:t xml:space="preserve"> belki i szeroki wybór kolorów włączając brązowy orzech i </w:t>
      </w:r>
      <w:proofErr w:type="spellStart"/>
      <w:r>
        <w:t>bledzsze</w:t>
      </w:r>
      <w:proofErr w:type="spellEnd"/>
      <w:r>
        <w:t xml:space="preserve"> cienie brązu podkreślające ciemne słoje, ułożone pionowo tworzą oryginalny efekt pokładu statku. Deski podłogowe  </w:t>
      </w:r>
      <w:proofErr w:type="spellStart"/>
      <w:r>
        <w:t>Mid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dostępne są w formacie 915x152mm.</w:t>
      </w:r>
    </w:p>
    <w:p w:rsidR="00396858" w:rsidRDefault="00396858" w:rsidP="00396858">
      <w:r>
        <w:t xml:space="preserve">VGW99T </w:t>
      </w:r>
      <w:proofErr w:type="spellStart"/>
      <w:r>
        <w:t>Reclaimed</w:t>
      </w:r>
      <w:proofErr w:type="spellEnd"/>
      <w:r>
        <w:t xml:space="preserve"> Redwood</w:t>
      </w:r>
    </w:p>
    <w:p w:rsidR="00396858" w:rsidRDefault="00396858" w:rsidP="00396858">
      <w:r>
        <w:t xml:space="preserve">Wzór </w:t>
      </w:r>
      <w:proofErr w:type="spellStart"/>
      <w:r>
        <w:t>Reclaimed</w:t>
      </w:r>
      <w:proofErr w:type="spellEnd"/>
      <w:r>
        <w:t xml:space="preserve"> Redwood stanowi pieczołowite odtworzenie każdego sęku i słoja, emanując uderzającym podobieństwem do prawdziwego drewna. Podłużne, jasnoszare elementy połączone ze </w:t>
      </w:r>
      <w:proofErr w:type="spellStart"/>
      <w:r>
        <w:t>średniobrązowymi</w:t>
      </w:r>
      <w:proofErr w:type="spellEnd"/>
      <w:r>
        <w:t xml:space="preserve"> akcentami tworzą niezwykle indywidulane zestawienie.</w:t>
      </w:r>
    </w:p>
    <w:sectPr w:rsidR="00396858" w:rsidSect="001E0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D2"/>
    <w:rsid w:val="000102C3"/>
    <w:rsid w:val="0001185C"/>
    <w:rsid w:val="00012C15"/>
    <w:rsid w:val="000160EC"/>
    <w:rsid w:val="000164FE"/>
    <w:rsid w:val="000212CF"/>
    <w:rsid w:val="0002369E"/>
    <w:rsid w:val="0002449A"/>
    <w:rsid w:val="0002739C"/>
    <w:rsid w:val="000326D4"/>
    <w:rsid w:val="00035D01"/>
    <w:rsid w:val="0004101C"/>
    <w:rsid w:val="00041B07"/>
    <w:rsid w:val="000445EA"/>
    <w:rsid w:val="0004588E"/>
    <w:rsid w:val="000459CF"/>
    <w:rsid w:val="000459EF"/>
    <w:rsid w:val="00046E5E"/>
    <w:rsid w:val="00050DAE"/>
    <w:rsid w:val="00051179"/>
    <w:rsid w:val="00055AB5"/>
    <w:rsid w:val="00056D8E"/>
    <w:rsid w:val="00061A55"/>
    <w:rsid w:val="00064121"/>
    <w:rsid w:val="00065B76"/>
    <w:rsid w:val="00066136"/>
    <w:rsid w:val="00070308"/>
    <w:rsid w:val="00070E0E"/>
    <w:rsid w:val="0007685A"/>
    <w:rsid w:val="00077065"/>
    <w:rsid w:val="000777B0"/>
    <w:rsid w:val="00077820"/>
    <w:rsid w:val="000815B5"/>
    <w:rsid w:val="0008404A"/>
    <w:rsid w:val="00085547"/>
    <w:rsid w:val="00085AC2"/>
    <w:rsid w:val="000960CC"/>
    <w:rsid w:val="00096638"/>
    <w:rsid w:val="00097F56"/>
    <w:rsid w:val="000A0713"/>
    <w:rsid w:val="000A0981"/>
    <w:rsid w:val="000A28BE"/>
    <w:rsid w:val="000A3796"/>
    <w:rsid w:val="000A3D78"/>
    <w:rsid w:val="000A3FD4"/>
    <w:rsid w:val="000B029D"/>
    <w:rsid w:val="000B2304"/>
    <w:rsid w:val="000B6054"/>
    <w:rsid w:val="000B6A2C"/>
    <w:rsid w:val="000B6B27"/>
    <w:rsid w:val="000B76CD"/>
    <w:rsid w:val="000C6658"/>
    <w:rsid w:val="000C73BC"/>
    <w:rsid w:val="000D1B73"/>
    <w:rsid w:val="000D1DB7"/>
    <w:rsid w:val="000D3B8C"/>
    <w:rsid w:val="000D7156"/>
    <w:rsid w:val="000D7513"/>
    <w:rsid w:val="000E12AB"/>
    <w:rsid w:val="000E2BDA"/>
    <w:rsid w:val="000E4974"/>
    <w:rsid w:val="000F0557"/>
    <w:rsid w:val="000F2D99"/>
    <w:rsid w:val="000F4469"/>
    <w:rsid w:val="000F61AC"/>
    <w:rsid w:val="000F6533"/>
    <w:rsid w:val="000F6F9A"/>
    <w:rsid w:val="00101A3B"/>
    <w:rsid w:val="00103D13"/>
    <w:rsid w:val="00105490"/>
    <w:rsid w:val="00105687"/>
    <w:rsid w:val="00105C57"/>
    <w:rsid w:val="00106125"/>
    <w:rsid w:val="001065A1"/>
    <w:rsid w:val="00110A7F"/>
    <w:rsid w:val="00111191"/>
    <w:rsid w:val="00116866"/>
    <w:rsid w:val="00120B13"/>
    <w:rsid w:val="00123D77"/>
    <w:rsid w:val="00125AB7"/>
    <w:rsid w:val="00126746"/>
    <w:rsid w:val="0013107A"/>
    <w:rsid w:val="00131A7E"/>
    <w:rsid w:val="00134439"/>
    <w:rsid w:val="00141915"/>
    <w:rsid w:val="00142285"/>
    <w:rsid w:val="00143F29"/>
    <w:rsid w:val="00144309"/>
    <w:rsid w:val="00146F66"/>
    <w:rsid w:val="001508F8"/>
    <w:rsid w:val="00152962"/>
    <w:rsid w:val="00157338"/>
    <w:rsid w:val="0015776E"/>
    <w:rsid w:val="0016570A"/>
    <w:rsid w:val="00165D79"/>
    <w:rsid w:val="0017319E"/>
    <w:rsid w:val="00174102"/>
    <w:rsid w:val="00176233"/>
    <w:rsid w:val="00176AFD"/>
    <w:rsid w:val="00182DC5"/>
    <w:rsid w:val="001872CB"/>
    <w:rsid w:val="00187588"/>
    <w:rsid w:val="00197F25"/>
    <w:rsid w:val="001A1D08"/>
    <w:rsid w:val="001A5191"/>
    <w:rsid w:val="001A53F5"/>
    <w:rsid w:val="001A715C"/>
    <w:rsid w:val="001B29D0"/>
    <w:rsid w:val="001B39EB"/>
    <w:rsid w:val="001C201A"/>
    <w:rsid w:val="001C542C"/>
    <w:rsid w:val="001C5CEB"/>
    <w:rsid w:val="001D0ECC"/>
    <w:rsid w:val="001E002C"/>
    <w:rsid w:val="001E0A10"/>
    <w:rsid w:val="001E1005"/>
    <w:rsid w:val="001E46C6"/>
    <w:rsid w:val="001E4C69"/>
    <w:rsid w:val="001E7195"/>
    <w:rsid w:val="001F37BE"/>
    <w:rsid w:val="001F5095"/>
    <w:rsid w:val="00201A8E"/>
    <w:rsid w:val="00204838"/>
    <w:rsid w:val="0021015E"/>
    <w:rsid w:val="0021396D"/>
    <w:rsid w:val="00220CB6"/>
    <w:rsid w:val="00221565"/>
    <w:rsid w:val="00222CF7"/>
    <w:rsid w:val="00226D53"/>
    <w:rsid w:val="002309B9"/>
    <w:rsid w:val="002317C8"/>
    <w:rsid w:val="002342C0"/>
    <w:rsid w:val="00236171"/>
    <w:rsid w:val="00240420"/>
    <w:rsid w:val="00243956"/>
    <w:rsid w:val="0025052C"/>
    <w:rsid w:val="00250622"/>
    <w:rsid w:val="00255A14"/>
    <w:rsid w:val="0026202C"/>
    <w:rsid w:val="00267CE5"/>
    <w:rsid w:val="00270D7E"/>
    <w:rsid w:val="00272178"/>
    <w:rsid w:val="00273870"/>
    <w:rsid w:val="0027508B"/>
    <w:rsid w:val="002819AD"/>
    <w:rsid w:val="0028641E"/>
    <w:rsid w:val="00286DB7"/>
    <w:rsid w:val="00287A75"/>
    <w:rsid w:val="00290DF1"/>
    <w:rsid w:val="0029160E"/>
    <w:rsid w:val="00291794"/>
    <w:rsid w:val="00293FFD"/>
    <w:rsid w:val="002941BA"/>
    <w:rsid w:val="002A05E8"/>
    <w:rsid w:val="002A082A"/>
    <w:rsid w:val="002A1611"/>
    <w:rsid w:val="002A1D84"/>
    <w:rsid w:val="002A727F"/>
    <w:rsid w:val="002B19E8"/>
    <w:rsid w:val="002B2CE3"/>
    <w:rsid w:val="002B5DD0"/>
    <w:rsid w:val="002C2000"/>
    <w:rsid w:val="002C21F1"/>
    <w:rsid w:val="002C5D1A"/>
    <w:rsid w:val="002D6BA3"/>
    <w:rsid w:val="002D732B"/>
    <w:rsid w:val="002E2662"/>
    <w:rsid w:val="002E7786"/>
    <w:rsid w:val="002F4F42"/>
    <w:rsid w:val="002F5343"/>
    <w:rsid w:val="002F5B10"/>
    <w:rsid w:val="002F5CEF"/>
    <w:rsid w:val="002F72F5"/>
    <w:rsid w:val="0030146F"/>
    <w:rsid w:val="0031656C"/>
    <w:rsid w:val="00316F15"/>
    <w:rsid w:val="00323927"/>
    <w:rsid w:val="00327AE7"/>
    <w:rsid w:val="00333EAD"/>
    <w:rsid w:val="003342AC"/>
    <w:rsid w:val="003356A8"/>
    <w:rsid w:val="00336B4A"/>
    <w:rsid w:val="003425FC"/>
    <w:rsid w:val="003444C0"/>
    <w:rsid w:val="00345922"/>
    <w:rsid w:val="00346D11"/>
    <w:rsid w:val="00351937"/>
    <w:rsid w:val="003529A9"/>
    <w:rsid w:val="00354714"/>
    <w:rsid w:val="00354D39"/>
    <w:rsid w:val="00365AD1"/>
    <w:rsid w:val="003717FC"/>
    <w:rsid w:val="00380097"/>
    <w:rsid w:val="00384DAB"/>
    <w:rsid w:val="003918F3"/>
    <w:rsid w:val="00393F84"/>
    <w:rsid w:val="00395EA6"/>
    <w:rsid w:val="00396858"/>
    <w:rsid w:val="003972B9"/>
    <w:rsid w:val="003A063F"/>
    <w:rsid w:val="003A71D1"/>
    <w:rsid w:val="003B029F"/>
    <w:rsid w:val="003B1B1D"/>
    <w:rsid w:val="003B252C"/>
    <w:rsid w:val="003C0AFA"/>
    <w:rsid w:val="003D1680"/>
    <w:rsid w:val="003D2737"/>
    <w:rsid w:val="003D2AD2"/>
    <w:rsid w:val="003D604C"/>
    <w:rsid w:val="003D66B2"/>
    <w:rsid w:val="003E3887"/>
    <w:rsid w:val="003E4683"/>
    <w:rsid w:val="003E56A5"/>
    <w:rsid w:val="003E70F9"/>
    <w:rsid w:val="003E7807"/>
    <w:rsid w:val="003F1ACE"/>
    <w:rsid w:val="003F3E09"/>
    <w:rsid w:val="003F6951"/>
    <w:rsid w:val="003F69D9"/>
    <w:rsid w:val="003F6DD0"/>
    <w:rsid w:val="00402AE0"/>
    <w:rsid w:val="00410F30"/>
    <w:rsid w:val="004121E1"/>
    <w:rsid w:val="00412B6D"/>
    <w:rsid w:val="004155B1"/>
    <w:rsid w:val="00415BCB"/>
    <w:rsid w:val="0042096D"/>
    <w:rsid w:val="0042346F"/>
    <w:rsid w:val="00427A2D"/>
    <w:rsid w:val="0043038E"/>
    <w:rsid w:val="00432334"/>
    <w:rsid w:val="0043418E"/>
    <w:rsid w:val="00435FC1"/>
    <w:rsid w:val="0044354B"/>
    <w:rsid w:val="00444298"/>
    <w:rsid w:val="0045174D"/>
    <w:rsid w:val="00457418"/>
    <w:rsid w:val="00464491"/>
    <w:rsid w:val="0046561F"/>
    <w:rsid w:val="00472A2D"/>
    <w:rsid w:val="004753D4"/>
    <w:rsid w:val="00475558"/>
    <w:rsid w:val="00476751"/>
    <w:rsid w:val="00481E4D"/>
    <w:rsid w:val="004822A4"/>
    <w:rsid w:val="0048315F"/>
    <w:rsid w:val="00485120"/>
    <w:rsid w:val="004900EB"/>
    <w:rsid w:val="0049104E"/>
    <w:rsid w:val="00495F67"/>
    <w:rsid w:val="0049631A"/>
    <w:rsid w:val="004966C8"/>
    <w:rsid w:val="00497BE4"/>
    <w:rsid w:val="004A43C6"/>
    <w:rsid w:val="004A6A8D"/>
    <w:rsid w:val="004A6BC0"/>
    <w:rsid w:val="004B0E62"/>
    <w:rsid w:val="004B354E"/>
    <w:rsid w:val="004B4ED3"/>
    <w:rsid w:val="004C0D36"/>
    <w:rsid w:val="004C352B"/>
    <w:rsid w:val="004D0F3A"/>
    <w:rsid w:val="004D6D76"/>
    <w:rsid w:val="004D7AFC"/>
    <w:rsid w:val="004E01B0"/>
    <w:rsid w:val="004E0403"/>
    <w:rsid w:val="004E20D2"/>
    <w:rsid w:val="004E2698"/>
    <w:rsid w:val="004E553C"/>
    <w:rsid w:val="004F048C"/>
    <w:rsid w:val="004F233A"/>
    <w:rsid w:val="00501F73"/>
    <w:rsid w:val="0050389A"/>
    <w:rsid w:val="00506992"/>
    <w:rsid w:val="00510E1F"/>
    <w:rsid w:val="00514D09"/>
    <w:rsid w:val="005164CE"/>
    <w:rsid w:val="005210B0"/>
    <w:rsid w:val="005303BC"/>
    <w:rsid w:val="005309C0"/>
    <w:rsid w:val="00532B39"/>
    <w:rsid w:val="00532D26"/>
    <w:rsid w:val="005353DA"/>
    <w:rsid w:val="00536622"/>
    <w:rsid w:val="0053674A"/>
    <w:rsid w:val="0053720D"/>
    <w:rsid w:val="005374BC"/>
    <w:rsid w:val="00545E8A"/>
    <w:rsid w:val="005549A8"/>
    <w:rsid w:val="00556ED6"/>
    <w:rsid w:val="00560518"/>
    <w:rsid w:val="00564BC9"/>
    <w:rsid w:val="00564EF7"/>
    <w:rsid w:val="005718EA"/>
    <w:rsid w:val="00572950"/>
    <w:rsid w:val="00575132"/>
    <w:rsid w:val="00584A0D"/>
    <w:rsid w:val="005941A5"/>
    <w:rsid w:val="005941F2"/>
    <w:rsid w:val="00594B69"/>
    <w:rsid w:val="005A7126"/>
    <w:rsid w:val="005B0726"/>
    <w:rsid w:val="005B6BCF"/>
    <w:rsid w:val="005C185F"/>
    <w:rsid w:val="005C5E06"/>
    <w:rsid w:val="005C617A"/>
    <w:rsid w:val="005C6786"/>
    <w:rsid w:val="005D09E5"/>
    <w:rsid w:val="005D3D97"/>
    <w:rsid w:val="005D6177"/>
    <w:rsid w:val="005E16D2"/>
    <w:rsid w:val="005E2FF3"/>
    <w:rsid w:val="005E4D48"/>
    <w:rsid w:val="005E5201"/>
    <w:rsid w:val="005E6598"/>
    <w:rsid w:val="005E72F9"/>
    <w:rsid w:val="005E7872"/>
    <w:rsid w:val="005E78EE"/>
    <w:rsid w:val="005E7C1E"/>
    <w:rsid w:val="005F1972"/>
    <w:rsid w:val="005F1E5D"/>
    <w:rsid w:val="005F4B12"/>
    <w:rsid w:val="005F701F"/>
    <w:rsid w:val="0060078A"/>
    <w:rsid w:val="006008E9"/>
    <w:rsid w:val="00602CA3"/>
    <w:rsid w:val="00604C45"/>
    <w:rsid w:val="006108AE"/>
    <w:rsid w:val="00614A52"/>
    <w:rsid w:val="00617010"/>
    <w:rsid w:val="00625F25"/>
    <w:rsid w:val="00633AE5"/>
    <w:rsid w:val="0063668C"/>
    <w:rsid w:val="00636D40"/>
    <w:rsid w:val="006409AB"/>
    <w:rsid w:val="00644771"/>
    <w:rsid w:val="006453C5"/>
    <w:rsid w:val="006479C9"/>
    <w:rsid w:val="00647F15"/>
    <w:rsid w:val="006504B1"/>
    <w:rsid w:val="00653148"/>
    <w:rsid w:val="0065346D"/>
    <w:rsid w:val="00654432"/>
    <w:rsid w:val="006544F6"/>
    <w:rsid w:val="00656408"/>
    <w:rsid w:val="0065709C"/>
    <w:rsid w:val="006577B4"/>
    <w:rsid w:val="00660355"/>
    <w:rsid w:val="00660641"/>
    <w:rsid w:val="00660C59"/>
    <w:rsid w:val="00665002"/>
    <w:rsid w:val="00665C42"/>
    <w:rsid w:val="006663C1"/>
    <w:rsid w:val="0066677D"/>
    <w:rsid w:val="00667E52"/>
    <w:rsid w:val="00670F34"/>
    <w:rsid w:val="006745F5"/>
    <w:rsid w:val="0067758D"/>
    <w:rsid w:val="00680E78"/>
    <w:rsid w:val="00685756"/>
    <w:rsid w:val="006904A1"/>
    <w:rsid w:val="00693372"/>
    <w:rsid w:val="00693638"/>
    <w:rsid w:val="00696F90"/>
    <w:rsid w:val="00697319"/>
    <w:rsid w:val="00697C89"/>
    <w:rsid w:val="006A00E9"/>
    <w:rsid w:val="006A0C99"/>
    <w:rsid w:val="006A4B59"/>
    <w:rsid w:val="006A60CF"/>
    <w:rsid w:val="006B020A"/>
    <w:rsid w:val="006B0BDB"/>
    <w:rsid w:val="006B1DAC"/>
    <w:rsid w:val="006B400B"/>
    <w:rsid w:val="006B52A3"/>
    <w:rsid w:val="006B7741"/>
    <w:rsid w:val="006C0A74"/>
    <w:rsid w:val="006C4066"/>
    <w:rsid w:val="006D2B70"/>
    <w:rsid w:val="006D68D5"/>
    <w:rsid w:val="006E080D"/>
    <w:rsid w:val="006E1363"/>
    <w:rsid w:val="006E15A4"/>
    <w:rsid w:val="006F04B1"/>
    <w:rsid w:val="006F15F5"/>
    <w:rsid w:val="006F4E5B"/>
    <w:rsid w:val="006F505B"/>
    <w:rsid w:val="006F788D"/>
    <w:rsid w:val="007024AF"/>
    <w:rsid w:val="00705E4F"/>
    <w:rsid w:val="00707356"/>
    <w:rsid w:val="007107CE"/>
    <w:rsid w:val="007169CE"/>
    <w:rsid w:val="0072032F"/>
    <w:rsid w:val="00720977"/>
    <w:rsid w:val="00721B0E"/>
    <w:rsid w:val="00722956"/>
    <w:rsid w:val="00725A8A"/>
    <w:rsid w:val="00725BC6"/>
    <w:rsid w:val="00731B98"/>
    <w:rsid w:val="00734274"/>
    <w:rsid w:val="00736910"/>
    <w:rsid w:val="007369A9"/>
    <w:rsid w:val="00736BD5"/>
    <w:rsid w:val="00737CF7"/>
    <w:rsid w:val="007417D2"/>
    <w:rsid w:val="007444CE"/>
    <w:rsid w:val="007507A6"/>
    <w:rsid w:val="0075205B"/>
    <w:rsid w:val="00753A99"/>
    <w:rsid w:val="00764D68"/>
    <w:rsid w:val="00764FE8"/>
    <w:rsid w:val="00766182"/>
    <w:rsid w:val="00774A73"/>
    <w:rsid w:val="0078657A"/>
    <w:rsid w:val="007872AF"/>
    <w:rsid w:val="00790D64"/>
    <w:rsid w:val="007934AA"/>
    <w:rsid w:val="00793BA7"/>
    <w:rsid w:val="007A152B"/>
    <w:rsid w:val="007A614F"/>
    <w:rsid w:val="007B4124"/>
    <w:rsid w:val="007B483F"/>
    <w:rsid w:val="007B737C"/>
    <w:rsid w:val="007C0D36"/>
    <w:rsid w:val="007C1DF2"/>
    <w:rsid w:val="007C23D7"/>
    <w:rsid w:val="007C2D43"/>
    <w:rsid w:val="007C3B4A"/>
    <w:rsid w:val="007C458C"/>
    <w:rsid w:val="007C4C46"/>
    <w:rsid w:val="007D3B0B"/>
    <w:rsid w:val="007E0AAB"/>
    <w:rsid w:val="007E1471"/>
    <w:rsid w:val="007E40EF"/>
    <w:rsid w:val="007E4F24"/>
    <w:rsid w:val="007E6ABD"/>
    <w:rsid w:val="007E7CA4"/>
    <w:rsid w:val="007F076E"/>
    <w:rsid w:val="007F1E51"/>
    <w:rsid w:val="007F37A6"/>
    <w:rsid w:val="007F6C0F"/>
    <w:rsid w:val="00803069"/>
    <w:rsid w:val="00803323"/>
    <w:rsid w:val="00805388"/>
    <w:rsid w:val="00806626"/>
    <w:rsid w:val="00815935"/>
    <w:rsid w:val="00815FD3"/>
    <w:rsid w:val="00820095"/>
    <w:rsid w:val="00830357"/>
    <w:rsid w:val="00830EAB"/>
    <w:rsid w:val="0083265C"/>
    <w:rsid w:val="00834286"/>
    <w:rsid w:val="00835121"/>
    <w:rsid w:val="00835143"/>
    <w:rsid w:val="0084230D"/>
    <w:rsid w:val="00842891"/>
    <w:rsid w:val="00843B4A"/>
    <w:rsid w:val="008477A6"/>
    <w:rsid w:val="008516CA"/>
    <w:rsid w:val="00854D4F"/>
    <w:rsid w:val="00855DF3"/>
    <w:rsid w:val="00861EC4"/>
    <w:rsid w:val="008620B6"/>
    <w:rsid w:val="00862F5E"/>
    <w:rsid w:val="00864B50"/>
    <w:rsid w:val="00866D9D"/>
    <w:rsid w:val="0087178A"/>
    <w:rsid w:val="0087428C"/>
    <w:rsid w:val="0088162F"/>
    <w:rsid w:val="008826C6"/>
    <w:rsid w:val="00882EFE"/>
    <w:rsid w:val="0088357E"/>
    <w:rsid w:val="0088615F"/>
    <w:rsid w:val="00886594"/>
    <w:rsid w:val="00890587"/>
    <w:rsid w:val="0089153C"/>
    <w:rsid w:val="00893455"/>
    <w:rsid w:val="008A354A"/>
    <w:rsid w:val="008A3C68"/>
    <w:rsid w:val="008A5F79"/>
    <w:rsid w:val="008A7E57"/>
    <w:rsid w:val="008B0EB5"/>
    <w:rsid w:val="008B266C"/>
    <w:rsid w:val="008C01E5"/>
    <w:rsid w:val="008C10E0"/>
    <w:rsid w:val="008C45A8"/>
    <w:rsid w:val="008C6B09"/>
    <w:rsid w:val="008C6B93"/>
    <w:rsid w:val="008C73A8"/>
    <w:rsid w:val="008E1FA9"/>
    <w:rsid w:val="008F2BE8"/>
    <w:rsid w:val="008F4F9D"/>
    <w:rsid w:val="008F54E6"/>
    <w:rsid w:val="008F671B"/>
    <w:rsid w:val="00902AB9"/>
    <w:rsid w:val="00905D5F"/>
    <w:rsid w:val="009109E3"/>
    <w:rsid w:val="00911BA6"/>
    <w:rsid w:val="009138FA"/>
    <w:rsid w:val="00913C3B"/>
    <w:rsid w:val="00921688"/>
    <w:rsid w:val="0092592A"/>
    <w:rsid w:val="00931351"/>
    <w:rsid w:val="00931A44"/>
    <w:rsid w:val="00935007"/>
    <w:rsid w:val="00936817"/>
    <w:rsid w:val="00943326"/>
    <w:rsid w:val="00944B0F"/>
    <w:rsid w:val="0094632B"/>
    <w:rsid w:val="009477F8"/>
    <w:rsid w:val="00951A50"/>
    <w:rsid w:val="0095735D"/>
    <w:rsid w:val="00961D46"/>
    <w:rsid w:val="00962BF3"/>
    <w:rsid w:val="009639DD"/>
    <w:rsid w:val="00964946"/>
    <w:rsid w:val="00973482"/>
    <w:rsid w:val="00983447"/>
    <w:rsid w:val="0098344E"/>
    <w:rsid w:val="009857C0"/>
    <w:rsid w:val="009862FF"/>
    <w:rsid w:val="009868D6"/>
    <w:rsid w:val="00986D97"/>
    <w:rsid w:val="00991B25"/>
    <w:rsid w:val="009965CD"/>
    <w:rsid w:val="009968EC"/>
    <w:rsid w:val="00997C44"/>
    <w:rsid w:val="009A499B"/>
    <w:rsid w:val="009A4C3C"/>
    <w:rsid w:val="009A4D47"/>
    <w:rsid w:val="009A73A0"/>
    <w:rsid w:val="009B14D2"/>
    <w:rsid w:val="009B179C"/>
    <w:rsid w:val="009B2C20"/>
    <w:rsid w:val="009B3491"/>
    <w:rsid w:val="009B4489"/>
    <w:rsid w:val="009B684D"/>
    <w:rsid w:val="009B6C06"/>
    <w:rsid w:val="009D5CB0"/>
    <w:rsid w:val="009D76B4"/>
    <w:rsid w:val="009D780E"/>
    <w:rsid w:val="009D79B4"/>
    <w:rsid w:val="009F0188"/>
    <w:rsid w:val="009F225E"/>
    <w:rsid w:val="009F3DA3"/>
    <w:rsid w:val="009F4157"/>
    <w:rsid w:val="009F4871"/>
    <w:rsid w:val="009F66C6"/>
    <w:rsid w:val="00A01BB1"/>
    <w:rsid w:val="00A030A4"/>
    <w:rsid w:val="00A04774"/>
    <w:rsid w:val="00A1225F"/>
    <w:rsid w:val="00A130C7"/>
    <w:rsid w:val="00A1732B"/>
    <w:rsid w:val="00A22246"/>
    <w:rsid w:val="00A23929"/>
    <w:rsid w:val="00A2661C"/>
    <w:rsid w:val="00A31795"/>
    <w:rsid w:val="00A3269F"/>
    <w:rsid w:val="00A40098"/>
    <w:rsid w:val="00A40120"/>
    <w:rsid w:val="00A418D6"/>
    <w:rsid w:val="00A43082"/>
    <w:rsid w:val="00A43E0F"/>
    <w:rsid w:val="00A445B1"/>
    <w:rsid w:val="00A50427"/>
    <w:rsid w:val="00A522ED"/>
    <w:rsid w:val="00A5241E"/>
    <w:rsid w:val="00A54EFC"/>
    <w:rsid w:val="00A5529A"/>
    <w:rsid w:val="00A61175"/>
    <w:rsid w:val="00A62D9C"/>
    <w:rsid w:val="00A63A20"/>
    <w:rsid w:val="00A70A2B"/>
    <w:rsid w:val="00A7244A"/>
    <w:rsid w:val="00A72B64"/>
    <w:rsid w:val="00A73206"/>
    <w:rsid w:val="00A75189"/>
    <w:rsid w:val="00A75678"/>
    <w:rsid w:val="00A807D2"/>
    <w:rsid w:val="00A81517"/>
    <w:rsid w:val="00A835D5"/>
    <w:rsid w:val="00A835ED"/>
    <w:rsid w:val="00A8650D"/>
    <w:rsid w:val="00A86D8A"/>
    <w:rsid w:val="00A86FFD"/>
    <w:rsid w:val="00A96FFC"/>
    <w:rsid w:val="00A97F74"/>
    <w:rsid w:val="00AA169C"/>
    <w:rsid w:val="00AA513F"/>
    <w:rsid w:val="00AA5185"/>
    <w:rsid w:val="00AB3ED5"/>
    <w:rsid w:val="00AB784C"/>
    <w:rsid w:val="00AB7CF7"/>
    <w:rsid w:val="00AC090A"/>
    <w:rsid w:val="00AC4011"/>
    <w:rsid w:val="00AC5B08"/>
    <w:rsid w:val="00AD0035"/>
    <w:rsid w:val="00AD0404"/>
    <w:rsid w:val="00AD075C"/>
    <w:rsid w:val="00AD5D27"/>
    <w:rsid w:val="00AE1D77"/>
    <w:rsid w:val="00AE4161"/>
    <w:rsid w:val="00AE4AF6"/>
    <w:rsid w:val="00AE62AF"/>
    <w:rsid w:val="00AE6D67"/>
    <w:rsid w:val="00AF049B"/>
    <w:rsid w:val="00AF4B70"/>
    <w:rsid w:val="00B0439B"/>
    <w:rsid w:val="00B10E80"/>
    <w:rsid w:val="00B13807"/>
    <w:rsid w:val="00B231D6"/>
    <w:rsid w:val="00B239C9"/>
    <w:rsid w:val="00B2645C"/>
    <w:rsid w:val="00B3007B"/>
    <w:rsid w:val="00B317C6"/>
    <w:rsid w:val="00B40669"/>
    <w:rsid w:val="00B43597"/>
    <w:rsid w:val="00B4702C"/>
    <w:rsid w:val="00B53BE4"/>
    <w:rsid w:val="00B55C92"/>
    <w:rsid w:val="00B56A2E"/>
    <w:rsid w:val="00B57DBA"/>
    <w:rsid w:val="00B67FD3"/>
    <w:rsid w:val="00B7079F"/>
    <w:rsid w:val="00B708BE"/>
    <w:rsid w:val="00B72DF8"/>
    <w:rsid w:val="00B7695E"/>
    <w:rsid w:val="00B81802"/>
    <w:rsid w:val="00B845FB"/>
    <w:rsid w:val="00B87997"/>
    <w:rsid w:val="00B91D2E"/>
    <w:rsid w:val="00B94F43"/>
    <w:rsid w:val="00BA19AC"/>
    <w:rsid w:val="00BA32C8"/>
    <w:rsid w:val="00BA4727"/>
    <w:rsid w:val="00BB00F1"/>
    <w:rsid w:val="00BB5DA5"/>
    <w:rsid w:val="00BB5E13"/>
    <w:rsid w:val="00BB6E4F"/>
    <w:rsid w:val="00BB75D1"/>
    <w:rsid w:val="00BC03A3"/>
    <w:rsid w:val="00BC471B"/>
    <w:rsid w:val="00BD196C"/>
    <w:rsid w:val="00BD3673"/>
    <w:rsid w:val="00BD4CCA"/>
    <w:rsid w:val="00BD5401"/>
    <w:rsid w:val="00BD6B05"/>
    <w:rsid w:val="00BE2A2B"/>
    <w:rsid w:val="00BE68DF"/>
    <w:rsid w:val="00BE7B93"/>
    <w:rsid w:val="00BF03FA"/>
    <w:rsid w:val="00BF167F"/>
    <w:rsid w:val="00BF1F85"/>
    <w:rsid w:val="00BF37BD"/>
    <w:rsid w:val="00BF4508"/>
    <w:rsid w:val="00C00DCC"/>
    <w:rsid w:val="00C02295"/>
    <w:rsid w:val="00C02ED7"/>
    <w:rsid w:val="00C04FEF"/>
    <w:rsid w:val="00C12ABB"/>
    <w:rsid w:val="00C21857"/>
    <w:rsid w:val="00C2371B"/>
    <w:rsid w:val="00C24C06"/>
    <w:rsid w:val="00C2532E"/>
    <w:rsid w:val="00C30551"/>
    <w:rsid w:val="00C340A4"/>
    <w:rsid w:val="00C346A7"/>
    <w:rsid w:val="00C352C4"/>
    <w:rsid w:val="00C36291"/>
    <w:rsid w:val="00C377DF"/>
    <w:rsid w:val="00C42A09"/>
    <w:rsid w:val="00C4542B"/>
    <w:rsid w:val="00C4567F"/>
    <w:rsid w:val="00C46609"/>
    <w:rsid w:val="00C46C12"/>
    <w:rsid w:val="00C50493"/>
    <w:rsid w:val="00C51CE5"/>
    <w:rsid w:val="00C567D0"/>
    <w:rsid w:val="00C60382"/>
    <w:rsid w:val="00C6041E"/>
    <w:rsid w:val="00C611C8"/>
    <w:rsid w:val="00C65314"/>
    <w:rsid w:val="00C70A33"/>
    <w:rsid w:val="00C732BF"/>
    <w:rsid w:val="00C73EA0"/>
    <w:rsid w:val="00C73F2B"/>
    <w:rsid w:val="00C759C6"/>
    <w:rsid w:val="00C7782E"/>
    <w:rsid w:val="00C77A8D"/>
    <w:rsid w:val="00C835AC"/>
    <w:rsid w:val="00C83A48"/>
    <w:rsid w:val="00C84854"/>
    <w:rsid w:val="00C869CB"/>
    <w:rsid w:val="00C87984"/>
    <w:rsid w:val="00C87DA0"/>
    <w:rsid w:val="00C87F50"/>
    <w:rsid w:val="00C90D29"/>
    <w:rsid w:val="00C940A2"/>
    <w:rsid w:val="00C945F0"/>
    <w:rsid w:val="00C954B0"/>
    <w:rsid w:val="00C960F5"/>
    <w:rsid w:val="00C97365"/>
    <w:rsid w:val="00C97F15"/>
    <w:rsid w:val="00CA1B17"/>
    <w:rsid w:val="00CA2C7A"/>
    <w:rsid w:val="00CA34D3"/>
    <w:rsid w:val="00CA4278"/>
    <w:rsid w:val="00CA4673"/>
    <w:rsid w:val="00CB01F8"/>
    <w:rsid w:val="00CB1071"/>
    <w:rsid w:val="00CB56ED"/>
    <w:rsid w:val="00CC20B0"/>
    <w:rsid w:val="00CC5EBC"/>
    <w:rsid w:val="00CC76BB"/>
    <w:rsid w:val="00CD132D"/>
    <w:rsid w:val="00CD4DCE"/>
    <w:rsid w:val="00CD4E7B"/>
    <w:rsid w:val="00CD4EEF"/>
    <w:rsid w:val="00CE1848"/>
    <w:rsid w:val="00CE6016"/>
    <w:rsid w:val="00CE7EF2"/>
    <w:rsid w:val="00CF147F"/>
    <w:rsid w:val="00CF1D15"/>
    <w:rsid w:val="00CF27D2"/>
    <w:rsid w:val="00CF3638"/>
    <w:rsid w:val="00CF4F41"/>
    <w:rsid w:val="00CF5096"/>
    <w:rsid w:val="00CF7215"/>
    <w:rsid w:val="00CF7E3A"/>
    <w:rsid w:val="00D031E2"/>
    <w:rsid w:val="00D049A0"/>
    <w:rsid w:val="00D071E1"/>
    <w:rsid w:val="00D07DDF"/>
    <w:rsid w:val="00D07FAC"/>
    <w:rsid w:val="00D12B7B"/>
    <w:rsid w:val="00D13E49"/>
    <w:rsid w:val="00D17163"/>
    <w:rsid w:val="00D210E3"/>
    <w:rsid w:val="00D24820"/>
    <w:rsid w:val="00D270C6"/>
    <w:rsid w:val="00D27DFD"/>
    <w:rsid w:val="00D37B25"/>
    <w:rsid w:val="00D40B85"/>
    <w:rsid w:val="00D414D5"/>
    <w:rsid w:val="00D4484F"/>
    <w:rsid w:val="00D45A2B"/>
    <w:rsid w:val="00D45ED5"/>
    <w:rsid w:val="00D53776"/>
    <w:rsid w:val="00D545A9"/>
    <w:rsid w:val="00D5490C"/>
    <w:rsid w:val="00D70BA5"/>
    <w:rsid w:val="00D72E4F"/>
    <w:rsid w:val="00D73F57"/>
    <w:rsid w:val="00D74429"/>
    <w:rsid w:val="00D80E3B"/>
    <w:rsid w:val="00D80FAF"/>
    <w:rsid w:val="00D87284"/>
    <w:rsid w:val="00D9017E"/>
    <w:rsid w:val="00D9035E"/>
    <w:rsid w:val="00D9177C"/>
    <w:rsid w:val="00D95E2D"/>
    <w:rsid w:val="00D971F8"/>
    <w:rsid w:val="00D979D0"/>
    <w:rsid w:val="00DA1115"/>
    <w:rsid w:val="00DA4305"/>
    <w:rsid w:val="00DA4968"/>
    <w:rsid w:val="00DA5441"/>
    <w:rsid w:val="00DA64C3"/>
    <w:rsid w:val="00DB2D99"/>
    <w:rsid w:val="00DB2DDF"/>
    <w:rsid w:val="00DC21D2"/>
    <w:rsid w:val="00DD6026"/>
    <w:rsid w:val="00DD734C"/>
    <w:rsid w:val="00DE0917"/>
    <w:rsid w:val="00DE34E4"/>
    <w:rsid w:val="00DE4D22"/>
    <w:rsid w:val="00DE5937"/>
    <w:rsid w:val="00DE7357"/>
    <w:rsid w:val="00DE7511"/>
    <w:rsid w:val="00DF5284"/>
    <w:rsid w:val="00E02FD1"/>
    <w:rsid w:val="00E053B4"/>
    <w:rsid w:val="00E06D2E"/>
    <w:rsid w:val="00E25D1D"/>
    <w:rsid w:val="00E30C03"/>
    <w:rsid w:val="00E31558"/>
    <w:rsid w:val="00E34908"/>
    <w:rsid w:val="00E3649E"/>
    <w:rsid w:val="00E40085"/>
    <w:rsid w:val="00E41EDB"/>
    <w:rsid w:val="00E42894"/>
    <w:rsid w:val="00E43EEB"/>
    <w:rsid w:val="00E44BEA"/>
    <w:rsid w:val="00E51D7C"/>
    <w:rsid w:val="00E53DC1"/>
    <w:rsid w:val="00E55F00"/>
    <w:rsid w:val="00E60FAB"/>
    <w:rsid w:val="00E67FFB"/>
    <w:rsid w:val="00E71C28"/>
    <w:rsid w:val="00E76573"/>
    <w:rsid w:val="00E81BF9"/>
    <w:rsid w:val="00E8297E"/>
    <w:rsid w:val="00E84F98"/>
    <w:rsid w:val="00E8745A"/>
    <w:rsid w:val="00E9025C"/>
    <w:rsid w:val="00E90D5B"/>
    <w:rsid w:val="00E94987"/>
    <w:rsid w:val="00EA0784"/>
    <w:rsid w:val="00EA4DB4"/>
    <w:rsid w:val="00EA60E1"/>
    <w:rsid w:val="00EA685F"/>
    <w:rsid w:val="00EA7167"/>
    <w:rsid w:val="00EB0C4C"/>
    <w:rsid w:val="00EB1B6C"/>
    <w:rsid w:val="00EB7ED0"/>
    <w:rsid w:val="00EC2049"/>
    <w:rsid w:val="00EC2417"/>
    <w:rsid w:val="00EC282F"/>
    <w:rsid w:val="00EC37C6"/>
    <w:rsid w:val="00EC421A"/>
    <w:rsid w:val="00EC4B97"/>
    <w:rsid w:val="00EC75C8"/>
    <w:rsid w:val="00ED33AE"/>
    <w:rsid w:val="00ED461A"/>
    <w:rsid w:val="00ED525C"/>
    <w:rsid w:val="00ED66F2"/>
    <w:rsid w:val="00EE1D5E"/>
    <w:rsid w:val="00EE3002"/>
    <w:rsid w:val="00EE48E0"/>
    <w:rsid w:val="00EE6DC7"/>
    <w:rsid w:val="00EE7B24"/>
    <w:rsid w:val="00EF647A"/>
    <w:rsid w:val="00F029CD"/>
    <w:rsid w:val="00F04321"/>
    <w:rsid w:val="00F049F4"/>
    <w:rsid w:val="00F07A08"/>
    <w:rsid w:val="00F12630"/>
    <w:rsid w:val="00F12A85"/>
    <w:rsid w:val="00F143E2"/>
    <w:rsid w:val="00F176B5"/>
    <w:rsid w:val="00F2694F"/>
    <w:rsid w:val="00F3290D"/>
    <w:rsid w:val="00F338EB"/>
    <w:rsid w:val="00F33953"/>
    <w:rsid w:val="00F344A0"/>
    <w:rsid w:val="00F34F8C"/>
    <w:rsid w:val="00F40459"/>
    <w:rsid w:val="00F42C6F"/>
    <w:rsid w:val="00F44F4B"/>
    <w:rsid w:val="00F46195"/>
    <w:rsid w:val="00F533A8"/>
    <w:rsid w:val="00F53D25"/>
    <w:rsid w:val="00F54BA6"/>
    <w:rsid w:val="00F5537E"/>
    <w:rsid w:val="00F57E02"/>
    <w:rsid w:val="00F61241"/>
    <w:rsid w:val="00F61D8A"/>
    <w:rsid w:val="00F66A52"/>
    <w:rsid w:val="00F75CA5"/>
    <w:rsid w:val="00F8516C"/>
    <w:rsid w:val="00F85B98"/>
    <w:rsid w:val="00F902EF"/>
    <w:rsid w:val="00F91F50"/>
    <w:rsid w:val="00F922D7"/>
    <w:rsid w:val="00F93931"/>
    <w:rsid w:val="00F93D5D"/>
    <w:rsid w:val="00F95A56"/>
    <w:rsid w:val="00FA0636"/>
    <w:rsid w:val="00FA1321"/>
    <w:rsid w:val="00FA1BAF"/>
    <w:rsid w:val="00FA1E76"/>
    <w:rsid w:val="00FA59E3"/>
    <w:rsid w:val="00FA7FB0"/>
    <w:rsid w:val="00FC2C75"/>
    <w:rsid w:val="00FC5AD9"/>
    <w:rsid w:val="00FC5BF6"/>
    <w:rsid w:val="00FC7C94"/>
    <w:rsid w:val="00FD05C1"/>
    <w:rsid w:val="00FD0DA1"/>
    <w:rsid w:val="00FD174F"/>
    <w:rsid w:val="00FD377C"/>
    <w:rsid w:val="00FD432A"/>
    <w:rsid w:val="00FD773C"/>
    <w:rsid w:val="00FD7762"/>
    <w:rsid w:val="00FD7FC2"/>
    <w:rsid w:val="00FE149F"/>
    <w:rsid w:val="00FE1A46"/>
    <w:rsid w:val="00FF496F"/>
    <w:rsid w:val="00FF4FA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1E693-5892-4C2B-A62C-E153069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Pastuła</dc:creator>
  <cp:keywords/>
  <dc:description/>
  <cp:lastModifiedBy>Zbigniew Pastuła</cp:lastModifiedBy>
  <cp:revision>3</cp:revision>
  <dcterms:created xsi:type="dcterms:W3CDTF">2020-11-26T10:50:00Z</dcterms:created>
  <dcterms:modified xsi:type="dcterms:W3CDTF">2020-11-26T13:27:00Z</dcterms:modified>
</cp:coreProperties>
</file>