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89" w:rsidRDefault="00E82A89" w:rsidP="00E82A89"/>
    <w:p w:rsidR="00E82A89" w:rsidRDefault="00E82A89" w:rsidP="00E82A89">
      <w:r>
        <w:t xml:space="preserve">VGW82T-SCB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3425FC" w:rsidRDefault="00E82A89" w:rsidP="00E82A89">
      <w:pPr>
        <w:pBdr>
          <w:bottom w:val="single" w:sz="6" w:space="1" w:color="auto"/>
        </w:pBdr>
      </w:pPr>
      <w:r>
        <w:t xml:space="preserve">Podobny do Country </w:t>
      </w:r>
      <w:proofErr w:type="spellStart"/>
      <w:r>
        <w:t>Oak</w:t>
      </w:r>
      <w:proofErr w:type="spellEnd"/>
      <w:r>
        <w:t xml:space="preserve"> pod względem barwy i odcienia wzór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cechuje się jednak bardziej wyrazistymi słojami z większymi sękami i podłużnymi detalami. Tu również mamy do czynienia z autentycznym, rustykalnym wykończeniem bez jakichkolwiek mankamentów związanych z prawdziwym drewnem, co przekłada się na fantastyczny, tradycyjny styl, który sprawdzi się w różnorodnych wnętrzach.</w:t>
      </w:r>
    </w:p>
    <w:p w:rsidR="00E82A89" w:rsidRDefault="00E82A89" w:rsidP="00E82A89">
      <w:r w:rsidRPr="00E82A89">
        <w:t xml:space="preserve">LLP92 Country </w:t>
      </w:r>
      <w:proofErr w:type="spellStart"/>
      <w:r w:rsidRPr="00E82A89">
        <w:t>Oak</w:t>
      </w:r>
      <w:proofErr w:type="spellEnd"/>
    </w:p>
    <w:p w:rsidR="00E82A89" w:rsidRDefault="00E82A89" w:rsidP="00E82A89"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Country </w:t>
      </w:r>
      <w:proofErr w:type="spellStart"/>
      <w:r>
        <w:t>Oak</w:t>
      </w:r>
      <w:proofErr w:type="spellEnd"/>
      <w:r>
        <w:t xml:space="preserve"> stworzą w Twoim mieszkaniu autentyczny, rustykalny wygląd poprzez wrażenie nieociosanych bali naturalnego drewna bez praktycznych trudności ich utrzymywania, takich jak woskowanie czy piaskowanie. </w:t>
      </w:r>
    </w:p>
    <w:p w:rsidR="00E82A89" w:rsidRDefault="00E82A89" w:rsidP="00E82A89"/>
    <w:p w:rsidR="00E82A89" w:rsidRDefault="00E82A89" w:rsidP="00E82A89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E82A89" w:rsidRDefault="00E82A89" w:rsidP="00E82A89">
      <w:r>
        <w:t xml:space="preserve">LLP101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E82A89" w:rsidRDefault="00E82A89" w:rsidP="00E82A89"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stworzą w Twoim mieszkaniu autentyczny, rustykalny wygląd poprzez wrażenie nieociosanych bali naturalnego drewna bez praktycznych trudności ich utrzymywania, takich jak woskowanie czy piaskowanie prawdziwej porowatości naturalnego drewna.</w:t>
      </w:r>
    </w:p>
    <w:p w:rsidR="00E82A89" w:rsidRDefault="00E82A89" w:rsidP="00E82A89"/>
    <w:p w:rsidR="00E82A89" w:rsidRDefault="00E82A89" w:rsidP="00E82A89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E82A89" w:rsidRDefault="00E82A89" w:rsidP="00E82A89">
      <w:r>
        <w:t xml:space="preserve">WP413 </w:t>
      </w:r>
      <w:proofErr w:type="spellStart"/>
      <w:r>
        <w:t>Magna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Nadaj przestrzeni charakteru używając bardzo dużych desek o wyglądzie zniszczonego pogodą drewna modelu </w:t>
      </w:r>
      <w:proofErr w:type="spellStart"/>
      <w:r>
        <w:t>Magna</w:t>
      </w:r>
      <w:proofErr w:type="spellEnd"/>
      <w:r>
        <w:t xml:space="preserve"> z linii Opus. Model oferuje wyróżniający się styl zarówno w rustykalnym domu jak i w nowoczesnym, miejskim wnętrzu dzięki swojej chłodnej, brązowej kolorystyce i wyglądowi niewykończonego drewna.</w:t>
      </w:r>
    </w:p>
    <w:p w:rsidR="00E82A89" w:rsidRDefault="00E82A89" w:rsidP="00E82A89">
      <w:r>
        <w:t xml:space="preserve">LLP308 French Grey </w:t>
      </w:r>
      <w:proofErr w:type="spellStart"/>
      <w:r>
        <w:t>Oak</w:t>
      </w:r>
      <w:proofErr w:type="spellEnd"/>
    </w:p>
    <w:p w:rsidR="00E82A89" w:rsidRDefault="00E82A89" w:rsidP="00E82A89">
      <w:r>
        <w:t xml:space="preserve">Wpisując się w preferencje Europejczyków do neutralnych i szarych odcieni, French Grey </w:t>
      </w:r>
      <w:proofErr w:type="spellStart"/>
      <w:r>
        <w:t>Oak</w:t>
      </w:r>
      <w:proofErr w:type="spellEnd"/>
      <w:r>
        <w:t xml:space="preserve"> to no</w:t>
      </w:r>
      <w:r>
        <w:t>woczesny i stylowy wzór drewna.</w:t>
      </w:r>
    </w:p>
    <w:p w:rsidR="00E82A89" w:rsidRDefault="00E82A89" w:rsidP="00E82A89">
      <w:r>
        <w:t>Te inspirowane europejskim dębem postarzane deski cechuje wyjątkowa atencja do odwzorowania włókien i wykończenie w stylu delika</w:t>
      </w:r>
      <w:r>
        <w:t>tnie szczotkowanej powierzchni.</w:t>
      </w:r>
    </w:p>
    <w:p w:rsidR="00E82A89" w:rsidRDefault="00E82A89" w:rsidP="00E82A89">
      <w:pPr>
        <w:pBdr>
          <w:bottom w:val="single" w:sz="6" w:space="1" w:color="auto"/>
        </w:pBdr>
      </w:pPr>
      <w:r>
        <w:t xml:space="preserve">Dzięki zaletom </w:t>
      </w:r>
      <w:proofErr w:type="spellStart"/>
      <w:r>
        <w:t>LooseLay</w:t>
      </w:r>
      <w:proofErr w:type="spellEnd"/>
      <w:r>
        <w:t xml:space="preserve"> oraz bardzo długiemu formatowi deski, French Grey </w:t>
      </w:r>
      <w:proofErr w:type="spellStart"/>
      <w:r>
        <w:t>Oak</w:t>
      </w:r>
      <w:proofErr w:type="spellEnd"/>
      <w:r>
        <w:t xml:space="preserve"> to bardzo szybki i prosty sposób na dopasowanie elementów, gdy chcesz zmniejszyć poziom przenoszenia hałasu. Jak wszystkie produkty </w:t>
      </w:r>
      <w:proofErr w:type="spellStart"/>
      <w:r>
        <w:t>Designflooring</w:t>
      </w:r>
      <w:proofErr w:type="spellEnd"/>
      <w:r>
        <w:t>, jest to idealne rozwiązanie do domów, w których panuje duży ruch, a dodatkowo nie wymaga dużych nakładów prac konserwacyjnych.</w:t>
      </w:r>
    </w:p>
    <w:p w:rsidR="00E82A89" w:rsidRDefault="00E82A89" w:rsidP="00E82A89">
      <w:r>
        <w:t xml:space="preserve">AP03 Black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Ciesz się zachwycającym połączeniem czarnej dębiny ze szczegółowym rysunkiem słojów, </w:t>
      </w:r>
      <w:proofErr w:type="spellStart"/>
      <w:r>
        <w:t>piękej</w:t>
      </w:r>
      <w:proofErr w:type="spellEnd"/>
      <w:r>
        <w:t xml:space="preserve"> tekstury i nowoczesnego, matowego wykończenia. Potem wybierz jedną z licznych możliwości ułożenia i dostępnych bordiur by uzyskać naprawdę wyjątkowy wygląd.</w:t>
      </w:r>
    </w:p>
    <w:p w:rsidR="00E82A89" w:rsidRDefault="00E82A89" w:rsidP="00E82A89">
      <w:r>
        <w:t xml:space="preserve">LM28 </w:t>
      </w:r>
      <w:proofErr w:type="spellStart"/>
      <w:r>
        <w:t>Caldera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lastRenderedPageBreak/>
        <w:t>Ten chłodny i świeży trawertyn mieni się delikatnymi, lekkimi odcieniami na subtelnym marmurkowym wzorze, nadającym mu interesującego i niejednorodnego wyglądu</w:t>
      </w:r>
    </w:p>
    <w:p w:rsidR="00E82A89" w:rsidRDefault="00E82A89" w:rsidP="00E82A89">
      <w:r>
        <w:t xml:space="preserve">RL02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Wnieś letnie ciepło do swojego domu wybierając nasz </w:t>
      </w:r>
      <w:proofErr w:type="spellStart"/>
      <w:r>
        <w:t>atyrakcyjny</w:t>
      </w:r>
      <w:proofErr w:type="spellEnd"/>
      <w:r>
        <w:t xml:space="preserve"> model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Oak</w:t>
      </w:r>
      <w:proofErr w:type="spellEnd"/>
      <w:r>
        <w:t>. Do stworzenia tego modelu podłogi o misternym wzorze drewna zainspirowały nas złote odcienie i szczegółowy rysunek słojów tradycyjnej dębiny wysokiej jakości.</w:t>
      </w:r>
    </w:p>
    <w:p w:rsidR="00E82A89" w:rsidRDefault="00E82A89" w:rsidP="00E82A89">
      <w:r>
        <w:t xml:space="preserve">RP73 </w:t>
      </w:r>
      <w:proofErr w:type="spellStart"/>
      <w:r>
        <w:t>Kenyan</w:t>
      </w:r>
      <w:proofErr w:type="spellEnd"/>
      <w:r>
        <w:t xml:space="preserve"> </w:t>
      </w:r>
      <w:proofErr w:type="spellStart"/>
      <w:r>
        <w:t>Tigerwood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Dla uzyskania osobistego, indywidualnego wyglądu zobacz egzotyczny rysunek słojów modelu </w:t>
      </w:r>
      <w:proofErr w:type="spellStart"/>
      <w:r>
        <w:t>Kenyan</w:t>
      </w:r>
      <w:proofErr w:type="spellEnd"/>
      <w:r>
        <w:t xml:space="preserve"> </w:t>
      </w:r>
      <w:proofErr w:type="spellStart"/>
      <w:r>
        <w:t>Tigerwood</w:t>
      </w:r>
      <w:proofErr w:type="spellEnd"/>
      <w:r>
        <w:t xml:space="preserve">. Do stworzenia unikalnego wzoru tych wąskich desek o fazowanych krawędziach z linii Monet zainspirował nas niepowtarzalny urok drewna </w:t>
      </w:r>
      <w:proofErr w:type="spellStart"/>
      <w:r>
        <w:t>jacarandy</w:t>
      </w:r>
      <w:proofErr w:type="spellEnd"/>
      <w:r>
        <w:t>.</w:t>
      </w:r>
    </w:p>
    <w:p w:rsidR="00E82A89" w:rsidRDefault="00E82A89" w:rsidP="00E82A89">
      <w:r>
        <w:t xml:space="preserve">RP99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Połączenie ciepłych, ciemnych odcieni czekolady z delikatnymi sękami i słojami nadaje podłodze </w:t>
      </w:r>
      <w:proofErr w:type="spellStart"/>
      <w:r>
        <w:t>Limed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prawdziwie wyszukanego stylu. Autentycznie wyglądający wzór drewna sprawi, że podłoga pomieszczenia stanie się jego niekłamanym atutem.</w:t>
      </w:r>
    </w:p>
    <w:p w:rsidR="00E82A89" w:rsidRDefault="00E82A89" w:rsidP="00E82A89">
      <w:r>
        <w:t>CER18 Bluff</w:t>
      </w:r>
    </w:p>
    <w:p w:rsidR="00E82A89" w:rsidRDefault="00E82A89" w:rsidP="00E82A89">
      <w:r>
        <w:t>Podłoga Bluff inspirowana była klasyczną strukturą i ponadczasowym wdziękiem naturalnego wapienia, dlatego rozjaśni każde wnętrze dzięki swojej jasnokremowej kolorystyce. Nieregularne beżowe tony dodają jej charakteru, tworząc harmonijny, stonowany efekt kamienia.</w:t>
      </w:r>
    </w:p>
    <w:p w:rsidR="00E82A89" w:rsidRDefault="00E82A89" w:rsidP="00E82A89"/>
    <w:p w:rsidR="00E82A89" w:rsidRDefault="00E82A89" w:rsidP="00E82A89">
      <w:pPr>
        <w:pBdr>
          <w:bottom w:val="single" w:sz="6" w:space="1" w:color="auto"/>
        </w:pBdr>
      </w:pPr>
      <w:r>
        <w:t>Przy oświetleniu szerokie skosy płytek Monet podkreślają ich prostokątny kształt. Można do nich dodać paski imitujące fugi, by uzyskać bardziej tradycyjny wygląd podłogi: ciemne dadzą efekt bardziej jednolity, a jasne dodadzą całości kontrastu.</w:t>
      </w:r>
    </w:p>
    <w:p w:rsidR="00E82A89" w:rsidRDefault="00E82A89" w:rsidP="00E82A89">
      <w:r>
        <w:t xml:space="preserve">VGW53T Wellington </w:t>
      </w:r>
      <w:proofErr w:type="spellStart"/>
      <w:r>
        <w:t>Oak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Model Wellington </w:t>
      </w:r>
      <w:proofErr w:type="spellStart"/>
      <w:r>
        <w:t>Oak</w:t>
      </w:r>
      <w:proofErr w:type="spellEnd"/>
      <w:r>
        <w:t xml:space="preserve"> łączy charakterystyczny rysunek słojów i </w:t>
      </w:r>
      <w:proofErr w:type="spellStart"/>
      <w:r>
        <w:t>seków</w:t>
      </w:r>
      <w:proofErr w:type="spellEnd"/>
      <w:r>
        <w:t xml:space="preserve"> </w:t>
      </w:r>
      <w:proofErr w:type="spellStart"/>
      <w:r>
        <w:t>linni</w:t>
      </w:r>
      <w:proofErr w:type="spellEnd"/>
      <w:r>
        <w:t xml:space="preserve"> podłóg Van Gogh o wzorach dębu z ciepłymi brązami dla stworzenia neutralnej, klasycznej bazy dla każdego pokoju. Duże deski stwarzają wrażenie przestrzeni  a bogate kolory zapewniają, że pokój jest gościnny i ma domową atmosferę.</w:t>
      </w:r>
    </w:p>
    <w:p w:rsidR="00E82A89" w:rsidRDefault="00E82A89" w:rsidP="00E82A89">
      <w:r>
        <w:t xml:space="preserve">VGW82T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W kolorach i odcieniach podobny do modelu Country </w:t>
      </w:r>
      <w:proofErr w:type="spellStart"/>
      <w:r>
        <w:t>Oak</w:t>
      </w:r>
      <w:proofErr w:type="spellEnd"/>
      <w:r>
        <w:t xml:space="preserve">, model </w:t>
      </w:r>
      <w:proofErr w:type="spellStart"/>
      <w:r>
        <w:t>Distressed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ma bardziej wyrazisty rysunek słojów z większymi sękami i wyraźnymi liniami. Kolejny model o rustykalnym wykończeniu bez praktycznych wad naturalnego materiału nadający wszelkim przestrzeniom tradycyjnego stylu.</w:t>
      </w:r>
    </w:p>
    <w:p w:rsidR="00E82A89" w:rsidRDefault="00E82A89" w:rsidP="00E82A89">
      <w:r>
        <w:t xml:space="preserve">VGW80T White </w:t>
      </w:r>
      <w:proofErr w:type="spellStart"/>
      <w:r>
        <w:t>Washed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E82A89" w:rsidRDefault="00E82A89" w:rsidP="00E82A89">
      <w:pPr>
        <w:pBdr>
          <w:bottom w:val="single" w:sz="6" w:space="1" w:color="auto"/>
        </w:pBdr>
      </w:pPr>
      <w:r>
        <w:t xml:space="preserve">Stwórz nowoczesną, elegancką przestrzeń o miękkiej, białej stylistyce używając podłogi White </w:t>
      </w:r>
      <w:proofErr w:type="spellStart"/>
      <w:r>
        <w:t>Washed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z kolekcji podłóg o wzorze drewna Van Gogh. Delikatny rysunek słojów dębiny i chłodne, kredowobiałe wykończenie dadzą spektakularną i uniwersalna bazę dla dowolnego stylu Twojego pokoju.</w:t>
      </w:r>
    </w:p>
    <w:p w:rsidR="00E82A89" w:rsidRDefault="00E82A89" w:rsidP="00E82A89">
      <w:bookmarkStart w:id="0" w:name="_GoBack"/>
      <w:bookmarkEnd w:id="0"/>
    </w:p>
    <w:p w:rsidR="00E82A89" w:rsidRDefault="00E82A89" w:rsidP="00E82A89"/>
    <w:sectPr w:rsidR="00E82A89" w:rsidSect="00E82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3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1D08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714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46F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205B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1B17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14D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2A89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49F4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603"/>
    <w:rsid w:val="00FD174F"/>
    <w:rsid w:val="00FD377C"/>
    <w:rsid w:val="00FD432A"/>
    <w:rsid w:val="00FD773C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6952-C12B-47F3-B56E-4224B873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2</cp:revision>
  <dcterms:created xsi:type="dcterms:W3CDTF">2020-11-26T10:17:00Z</dcterms:created>
  <dcterms:modified xsi:type="dcterms:W3CDTF">2020-11-26T10:49:00Z</dcterms:modified>
</cp:coreProperties>
</file>